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文星简大标宋" w:eastAsia="文星简大标宋"/>
          <w:sz w:val="84"/>
          <w:szCs w:val="84"/>
        </w:rPr>
      </w:pPr>
    </w:p>
    <w:p>
      <w:pPr>
        <w:jc w:val="center"/>
        <w:rPr>
          <w:rFonts w:ascii="文星简大标宋" w:eastAsia="文星简大标宋"/>
          <w:sz w:val="84"/>
          <w:szCs w:val="84"/>
        </w:rPr>
      </w:pPr>
    </w:p>
    <w:p>
      <w:pPr>
        <w:jc w:val="center"/>
        <w:rPr>
          <w:rFonts w:ascii="文星简大标宋" w:eastAsia="文星简大标宋"/>
          <w:sz w:val="84"/>
          <w:szCs w:val="84"/>
        </w:rPr>
      </w:pPr>
      <w:r>
        <w:rPr>
          <w:rFonts w:hint="eastAsia" w:ascii="文星简大标宋" w:eastAsia="文星简大标宋"/>
          <w:sz w:val="84"/>
          <w:szCs w:val="84"/>
        </w:rPr>
        <w:t>2019年度</w:t>
      </w:r>
    </w:p>
    <w:p>
      <w:pPr>
        <w:jc w:val="center"/>
        <w:rPr>
          <w:rFonts w:ascii="文星简大标宋" w:eastAsia="文星简大标宋"/>
          <w:sz w:val="84"/>
          <w:szCs w:val="84"/>
        </w:rPr>
      </w:pPr>
      <w:r>
        <w:rPr>
          <w:rFonts w:hint="eastAsia" w:ascii="文星简大标宋" w:eastAsia="文星简大标宋"/>
          <w:sz w:val="84"/>
          <w:szCs w:val="84"/>
        </w:rPr>
        <w:t>市委党校部门决算</w:t>
      </w:r>
    </w:p>
    <w:p>
      <w:pPr>
        <w:rPr>
          <w:sz w:val="52"/>
          <w:szCs w:val="52"/>
        </w:rPr>
      </w:pPr>
    </w:p>
    <w:p/>
    <w:p/>
    <w:p/>
    <w:p/>
    <w:p/>
    <w:p/>
    <w:p/>
    <w:p/>
    <w:p/>
    <w:p/>
    <w:p/>
    <w:p>
      <w:pPr>
        <w:spacing w:line="580" w:lineRule="exact"/>
      </w:pPr>
      <w:r>
        <w:br w:type="page"/>
      </w:r>
    </w:p>
    <w:p>
      <w:pPr>
        <w:spacing w:line="580" w:lineRule="exact"/>
        <w:jc w:val="center"/>
        <w:rPr>
          <w:rFonts w:ascii="黑体" w:eastAsia="黑体"/>
          <w:sz w:val="44"/>
          <w:szCs w:val="44"/>
        </w:rPr>
      </w:pPr>
      <w:r>
        <w:rPr>
          <w:rFonts w:hint="eastAsia" w:ascii="黑体" w:eastAsia="黑体"/>
          <w:sz w:val="44"/>
          <w:szCs w:val="44"/>
        </w:rPr>
        <w:t>目  录</w:t>
      </w:r>
    </w:p>
    <w:p>
      <w:pPr>
        <w:spacing w:line="580" w:lineRule="exact"/>
        <w:jc w:val="center"/>
        <w:rPr>
          <w:rFonts w:ascii="黑体" w:eastAsia="黑体"/>
          <w:sz w:val="44"/>
          <w:szCs w:val="44"/>
        </w:rPr>
      </w:pPr>
    </w:p>
    <w:p>
      <w:pPr>
        <w:spacing w:line="580" w:lineRule="exact"/>
        <w:jc w:val="center"/>
        <w:rPr>
          <w:rFonts w:ascii="黑体" w:eastAsia="黑体"/>
          <w:sz w:val="44"/>
          <w:szCs w:val="44"/>
        </w:rPr>
      </w:pPr>
    </w:p>
    <w:p>
      <w:pPr>
        <w:spacing w:line="580" w:lineRule="exact"/>
        <w:rPr>
          <w:rFonts w:ascii="黑体" w:eastAsia="黑体"/>
          <w:sz w:val="36"/>
          <w:szCs w:val="36"/>
        </w:rPr>
      </w:pPr>
      <w:r>
        <w:rPr>
          <w:rFonts w:hint="eastAsia" w:ascii="黑体" w:eastAsia="黑体"/>
          <w:sz w:val="36"/>
          <w:szCs w:val="36"/>
        </w:rPr>
        <w:t>第一部分 部门概况</w:t>
      </w:r>
    </w:p>
    <w:p>
      <w:pPr>
        <w:spacing w:line="580" w:lineRule="exact"/>
        <w:ind w:left="640"/>
        <w:rPr>
          <w:rFonts w:ascii="黑体" w:eastAsia="黑体"/>
          <w:sz w:val="32"/>
          <w:szCs w:val="32"/>
        </w:rPr>
      </w:pPr>
      <w:r>
        <w:rPr>
          <w:rFonts w:hint="eastAsia" w:ascii="黑体" w:eastAsia="黑体"/>
          <w:sz w:val="32"/>
          <w:szCs w:val="32"/>
        </w:rPr>
        <w:t>一、部门职责</w:t>
      </w:r>
    </w:p>
    <w:p>
      <w:pPr>
        <w:spacing w:line="580" w:lineRule="exact"/>
        <w:ind w:left="640"/>
        <w:rPr>
          <w:rFonts w:ascii="黑体" w:eastAsia="黑体"/>
          <w:sz w:val="32"/>
          <w:szCs w:val="32"/>
        </w:rPr>
      </w:pPr>
      <w:r>
        <w:rPr>
          <w:rFonts w:hint="eastAsia" w:ascii="黑体" w:eastAsia="黑体"/>
          <w:sz w:val="32"/>
          <w:szCs w:val="32"/>
        </w:rPr>
        <w:t xml:space="preserve">二、机构设置 </w:t>
      </w:r>
    </w:p>
    <w:p>
      <w:pPr>
        <w:spacing w:line="580" w:lineRule="exact"/>
        <w:ind w:left="640"/>
        <w:rPr>
          <w:rFonts w:ascii="黑体" w:eastAsia="黑体"/>
          <w:sz w:val="32"/>
          <w:szCs w:val="32"/>
        </w:rPr>
      </w:pPr>
    </w:p>
    <w:p>
      <w:pPr>
        <w:spacing w:line="580" w:lineRule="exact"/>
        <w:rPr>
          <w:rFonts w:ascii="黑体" w:eastAsia="黑体"/>
          <w:sz w:val="36"/>
          <w:szCs w:val="36"/>
        </w:rPr>
      </w:pPr>
      <w:r>
        <w:rPr>
          <w:rFonts w:hint="eastAsia" w:ascii="黑体" w:eastAsia="黑体"/>
          <w:sz w:val="36"/>
          <w:szCs w:val="36"/>
        </w:rPr>
        <w:t>第二部分 2019年度部门决算表</w:t>
      </w:r>
    </w:p>
    <w:p>
      <w:pPr>
        <w:spacing w:line="580" w:lineRule="exact"/>
        <w:ind w:firstLine="640" w:firstLineChars="200"/>
        <w:rPr>
          <w:rFonts w:ascii="黑体" w:eastAsia="黑体"/>
          <w:sz w:val="32"/>
          <w:szCs w:val="32"/>
        </w:rPr>
      </w:pPr>
      <w:r>
        <w:rPr>
          <w:rFonts w:hint="eastAsia" w:ascii="黑体" w:eastAsia="黑体"/>
          <w:sz w:val="32"/>
          <w:szCs w:val="32"/>
        </w:rPr>
        <w:t>一、收入支出决算总表</w:t>
      </w:r>
    </w:p>
    <w:p>
      <w:pPr>
        <w:spacing w:line="580" w:lineRule="exact"/>
        <w:ind w:firstLine="640" w:firstLineChars="200"/>
        <w:rPr>
          <w:rFonts w:ascii="黑体" w:eastAsia="黑体"/>
          <w:sz w:val="32"/>
          <w:szCs w:val="32"/>
        </w:rPr>
      </w:pPr>
      <w:r>
        <w:rPr>
          <w:rFonts w:hint="eastAsia" w:ascii="黑体" w:eastAsia="黑体"/>
          <w:sz w:val="32"/>
          <w:szCs w:val="32"/>
        </w:rPr>
        <w:t>二、收入决算表</w:t>
      </w:r>
    </w:p>
    <w:p>
      <w:pPr>
        <w:spacing w:line="580" w:lineRule="exact"/>
        <w:ind w:firstLine="640" w:firstLineChars="200"/>
        <w:rPr>
          <w:rFonts w:ascii="黑体" w:eastAsia="黑体"/>
          <w:sz w:val="32"/>
          <w:szCs w:val="32"/>
        </w:rPr>
      </w:pPr>
      <w:r>
        <w:rPr>
          <w:rFonts w:hint="eastAsia" w:ascii="黑体" w:eastAsia="黑体"/>
          <w:sz w:val="32"/>
          <w:szCs w:val="32"/>
        </w:rPr>
        <w:t>三、支出决算表</w:t>
      </w:r>
    </w:p>
    <w:p>
      <w:pPr>
        <w:spacing w:line="580" w:lineRule="exact"/>
        <w:ind w:firstLine="640" w:firstLineChars="200"/>
        <w:rPr>
          <w:rFonts w:ascii="黑体" w:eastAsia="黑体"/>
          <w:sz w:val="32"/>
          <w:szCs w:val="32"/>
        </w:rPr>
      </w:pPr>
      <w:r>
        <w:rPr>
          <w:rFonts w:hint="eastAsia" w:ascii="黑体" w:eastAsia="黑体"/>
          <w:sz w:val="32"/>
          <w:szCs w:val="32"/>
        </w:rPr>
        <w:t>四、财政拨款收入支出决算总表</w:t>
      </w:r>
    </w:p>
    <w:p>
      <w:pPr>
        <w:spacing w:line="580" w:lineRule="exact"/>
        <w:ind w:firstLine="640" w:firstLineChars="200"/>
        <w:rPr>
          <w:rFonts w:ascii="黑体" w:eastAsia="黑体"/>
          <w:sz w:val="32"/>
          <w:szCs w:val="32"/>
        </w:rPr>
      </w:pPr>
      <w:r>
        <w:rPr>
          <w:rFonts w:hint="eastAsia" w:ascii="黑体" w:eastAsia="黑体"/>
          <w:sz w:val="32"/>
          <w:szCs w:val="32"/>
        </w:rPr>
        <w:t>五、一般公共预算财政拨款支出决算表</w:t>
      </w:r>
    </w:p>
    <w:p>
      <w:pPr>
        <w:spacing w:line="580" w:lineRule="exact"/>
        <w:ind w:firstLine="640" w:firstLineChars="200"/>
        <w:rPr>
          <w:rFonts w:ascii="黑体" w:eastAsia="黑体"/>
          <w:sz w:val="32"/>
          <w:szCs w:val="32"/>
        </w:rPr>
      </w:pPr>
      <w:r>
        <w:rPr>
          <w:rFonts w:hint="eastAsia" w:ascii="黑体" w:eastAsia="黑体"/>
          <w:sz w:val="32"/>
          <w:szCs w:val="32"/>
        </w:rPr>
        <w:t>六、一般公共预算财政拨款基本支出决算表</w:t>
      </w:r>
    </w:p>
    <w:p>
      <w:pPr>
        <w:spacing w:line="580" w:lineRule="exact"/>
        <w:ind w:firstLine="640" w:firstLineChars="200"/>
        <w:rPr>
          <w:rFonts w:ascii="黑体" w:eastAsia="黑体"/>
          <w:sz w:val="32"/>
          <w:szCs w:val="32"/>
        </w:rPr>
      </w:pPr>
      <w:r>
        <w:rPr>
          <w:rFonts w:hint="eastAsia" w:ascii="黑体" w:eastAsia="黑体"/>
          <w:sz w:val="32"/>
          <w:szCs w:val="32"/>
        </w:rPr>
        <w:t>七、一般公共预算财政拨款“三公”经费支出决算表</w:t>
      </w:r>
    </w:p>
    <w:p>
      <w:pPr>
        <w:spacing w:line="580" w:lineRule="exact"/>
        <w:ind w:firstLine="640" w:firstLineChars="200"/>
        <w:rPr>
          <w:rFonts w:ascii="黑体" w:eastAsia="黑体"/>
          <w:sz w:val="32"/>
          <w:szCs w:val="32"/>
        </w:rPr>
      </w:pPr>
      <w:r>
        <w:rPr>
          <w:rFonts w:hint="eastAsia" w:ascii="黑体" w:eastAsia="黑体"/>
          <w:sz w:val="32"/>
          <w:szCs w:val="32"/>
        </w:rPr>
        <w:t>八、政府性基金预算财政拨款收入支出决算表</w:t>
      </w:r>
    </w:p>
    <w:p>
      <w:pPr>
        <w:spacing w:line="580" w:lineRule="exact"/>
        <w:ind w:firstLine="640" w:firstLineChars="200"/>
        <w:rPr>
          <w:rFonts w:ascii="黑体" w:eastAsia="黑体"/>
          <w:sz w:val="32"/>
          <w:szCs w:val="32"/>
        </w:rPr>
      </w:pPr>
    </w:p>
    <w:p>
      <w:pPr>
        <w:spacing w:line="580" w:lineRule="exact"/>
        <w:ind w:left="1602" w:hanging="1601" w:hangingChars="445"/>
        <w:rPr>
          <w:rFonts w:ascii="黑体" w:eastAsia="黑体"/>
          <w:sz w:val="36"/>
          <w:szCs w:val="36"/>
        </w:rPr>
      </w:pPr>
      <w:r>
        <w:rPr>
          <w:rFonts w:hint="eastAsia" w:ascii="黑体" w:eastAsia="黑体"/>
          <w:sz w:val="36"/>
          <w:szCs w:val="36"/>
        </w:rPr>
        <w:t>第三部分 2019年度部门决算情况和重要事项说明</w:t>
      </w:r>
    </w:p>
    <w:p>
      <w:pPr>
        <w:spacing w:line="580" w:lineRule="exact"/>
        <w:ind w:left="1602" w:hanging="1601" w:hangingChars="445"/>
        <w:rPr>
          <w:rFonts w:ascii="黑体" w:eastAsia="黑体"/>
          <w:sz w:val="36"/>
          <w:szCs w:val="36"/>
        </w:rPr>
      </w:pPr>
    </w:p>
    <w:p>
      <w:pPr>
        <w:spacing w:line="580" w:lineRule="exact"/>
        <w:ind w:left="1602" w:hanging="1601" w:hangingChars="445"/>
        <w:rPr>
          <w:rFonts w:ascii="黑体" w:eastAsia="黑体"/>
          <w:sz w:val="36"/>
          <w:szCs w:val="36"/>
        </w:rPr>
      </w:pPr>
      <w:r>
        <w:rPr>
          <w:rFonts w:hint="eastAsia" w:ascii="黑体" w:eastAsia="黑体"/>
          <w:sz w:val="36"/>
          <w:szCs w:val="36"/>
        </w:rPr>
        <w:t>第四部分 名词解释</w:t>
      </w:r>
    </w:p>
    <w:p>
      <w:pPr>
        <w:spacing w:line="580" w:lineRule="exact"/>
        <w:ind w:left="1602" w:hanging="1601" w:hangingChars="445"/>
        <w:rPr>
          <w:rFonts w:ascii="黑体" w:eastAsia="黑体"/>
          <w:sz w:val="36"/>
          <w:szCs w:val="36"/>
        </w:rPr>
      </w:pPr>
    </w:p>
    <w:p>
      <w:pPr>
        <w:spacing w:line="580" w:lineRule="exact"/>
        <w:ind w:left="1602" w:hanging="1601" w:hangingChars="445"/>
        <w:rPr>
          <w:rFonts w:ascii="黑体" w:eastAsia="黑体"/>
          <w:sz w:val="36"/>
          <w:szCs w:val="36"/>
        </w:rPr>
      </w:pPr>
    </w:p>
    <w:p>
      <w:pPr>
        <w:ind w:left="1609" w:leftChars="766"/>
        <w:rPr>
          <w:rFonts w:ascii="黑体" w:eastAsia="黑体"/>
          <w:sz w:val="36"/>
          <w:szCs w:val="36"/>
        </w:rPr>
      </w:pPr>
    </w:p>
    <w:p>
      <w:pPr>
        <w:rPr>
          <w:rFonts w:ascii="黑体" w:eastAsia="黑体"/>
          <w:sz w:val="36"/>
          <w:szCs w:val="36"/>
        </w:rPr>
      </w:pPr>
    </w:p>
    <w:p>
      <w:pPr>
        <w:rPr>
          <w:rFonts w:ascii="黑体" w:eastAsia="黑体"/>
          <w:sz w:val="36"/>
          <w:szCs w:val="36"/>
        </w:rPr>
      </w:pPr>
    </w:p>
    <w:p>
      <w:pPr>
        <w:rPr>
          <w:rFonts w:ascii="黑体" w:eastAsia="黑体"/>
          <w:sz w:val="36"/>
          <w:szCs w:val="36"/>
        </w:rPr>
      </w:pPr>
    </w:p>
    <w:p>
      <w:pPr>
        <w:rPr>
          <w:rFonts w:ascii="黑体" w:eastAsia="黑体"/>
          <w:b/>
          <w:sz w:val="36"/>
          <w:szCs w:val="36"/>
        </w:rPr>
      </w:pPr>
    </w:p>
    <w:p>
      <w:pPr>
        <w:rPr>
          <w:rFonts w:ascii="黑体" w:eastAsia="黑体"/>
          <w:sz w:val="52"/>
          <w:szCs w:val="52"/>
        </w:rPr>
      </w:pPr>
      <w:r>
        <w:rPr>
          <w:rFonts w:hint="eastAsia" w:ascii="黑体" w:eastAsia="黑体"/>
          <w:sz w:val="52"/>
          <w:szCs w:val="52"/>
        </w:rPr>
        <w:t xml:space="preserve">第一部分 </w:t>
      </w:r>
    </w:p>
    <w:p>
      <w:pPr>
        <w:ind w:firstLine="1040" w:firstLineChars="200"/>
        <w:rPr>
          <w:rFonts w:ascii="黑体" w:eastAsia="黑体"/>
          <w:sz w:val="52"/>
          <w:szCs w:val="52"/>
        </w:rPr>
      </w:pPr>
    </w:p>
    <w:p>
      <w:pPr>
        <w:ind w:firstLine="1040" w:firstLineChars="200"/>
        <w:rPr>
          <w:rFonts w:ascii="黑体" w:eastAsia="黑体"/>
          <w:sz w:val="52"/>
          <w:szCs w:val="52"/>
        </w:rPr>
      </w:pPr>
    </w:p>
    <w:p>
      <w:pPr>
        <w:ind w:firstLine="1040" w:firstLineChars="200"/>
        <w:rPr>
          <w:rFonts w:ascii="黑体" w:eastAsia="黑体"/>
          <w:sz w:val="52"/>
          <w:szCs w:val="52"/>
        </w:rPr>
      </w:pPr>
    </w:p>
    <w:p>
      <w:pPr>
        <w:jc w:val="center"/>
        <w:rPr>
          <w:rFonts w:ascii="黑体" w:eastAsia="黑体"/>
          <w:sz w:val="52"/>
          <w:szCs w:val="52"/>
        </w:rPr>
      </w:pPr>
      <w:r>
        <w:rPr>
          <w:rFonts w:hint="eastAsia" w:ascii="黑体" w:eastAsia="黑体"/>
          <w:sz w:val="52"/>
          <w:szCs w:val="52"/>
        </w:rPr>
        <w:t>部门概况</w:t>
      </w: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rPr>
          <w:rFonts w:ascii="黑体" w:eastAsia="黑体"/>
          <w:b/>
          <w:sz w:val="36"/>
          <w:szCs w:val="36"/>
        </w:rPr>
      </w:pPr>
    </w:p>
    <w:p>
      <w:pPr>
        <w:numPr>
          <w:ilvl w:val="0"/>
          <w:numId w:val="1"/>
        </w:numPr>
        <w:spacing w:line="580" w:lineRule="exact"/>
        <w:rPr>
          <w:rFonts w:ascii="黑体" w:eastAsia="黑体"/>
          <w:sz w:val="32"/>
          <w:szCs w:val="32"/>
        </w:rPr>
      </w:pPr>
      <w:r>
        <w:rPr>
          <w:rFonts w:hint="eastAsia" w:ascii="黑体" w:eastAsia="黑体"/>
          <w:sz w:val="32"/>
          <w:szCs w:val="32"/>
        </w:rPr>
        <w:t>部门职责</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中共青岛市委党校（青岛行政学院）是市委、市政府直接领导下培养党的领导干部的学校，是党委</w:t>
      </w:r>
      <w:bookmarkStart w:id="0" w:name="_GoBack"/>
      <w:bookmarkEnd w:id="0"/>
      <w:r>
        <w:rPr>
          <w:rFonts w:hint="eastAsia" w:ascii="仿宋_GB2312" w:hAnsi="仿宋" w:eastAsia="仿宋_GB2312" w:cs="仿宋_GB2312"/>
          <w:sz w:val="32"/>
          <w:szCs w:val="32"/>
        </w:rPr>
        <w:t>的重要部门，是培训党的各级领导干部的主渠道，是党的思想理论建设的重要阵地，是哲学社会科学的研究机构和重要智库。</w:t>
      </w:r>
    </w:p>
    <w:p>
      <w:pPr>
        <w:spacing w:line="580" w:lineRule="exact"/>
        <w:ind w:firstLine="640" w:firstLineChars="200"/>
        <w:rPr>
          <w:rFonts w:ascii="黑体" w:eastAsia="黑体"/>
          <w:sz w:val="32"/>
          <w:szCs w:val="32"/>
        </w:rPr>
      </w:pPr>
      <w:r>
        <w:rPr>
          <w:rFonts w:hint="eastAsia" w:ascii="黑体" w:eastAsia="黑体"/>
          <w:sz w:val="32"/>
          <w:szCs w:val="32"/>
        </w:rPr>
        <w:t>二、机构设置</w:t>
      </w:r>
    </w:p>
    <w:p>
      <w:pPr>
        <w:snapToGrid w:val="0"/>
        <w:spacing w:line="580" w:lineRule="exact"/>
        <w:ind w:firstLine="547" w:firstLineChars="171"/>
        <w:rPr>
          <w:rFonts w:ascii="仿宋_GB2312" w:eastAsia="仿宋_GB2312" w:cs="Courier New"/>
          <w:sz w:val="32"/>
          <w:szCs w:val="32"/>
        </w:rPr>
      </w:pPr>
      <w:r>
        <w:rPr>
          <w:rFonts w:hint="eastAsia" w:ascii="仿宋_GB2312" w:hAnsi="宋体" w:eastAsia="仿宋_GB2312" w:cs="Courier New"/>
          <w:sz w:val="32"/>
          <w:szCs w:val="32"/>
        </w:rPr>
        <w:t>从决算单位构成看，市委党校部门决算是单位本级决算。</w:t>
      </w:r>
      <w:r>
        <w:rPr>
          <w:rFonts w:hint="eastAsia" w:ascii="仿宋_GB2312" w:hAnsi="仿宋" w:eastAsia="仿宋_GB2312" w:cs="仿宋_GB2312"/>
          <w:sz w:val="32"/>
          <w:szCs w:val="32"/>
        </w:rPr>
        <w:t>单位性质为财政全额拨款事业单位。预算隶属级次属于地市级。单位</w:t>
      </w:r>
      <w:r>
        <w:rPr>
          <w:rFonts w:ascii="仿宋_GB2312" w:hAnsi="仿宋" w:eastAsia="仿宋_GB2312" w:cs="仿宋_GB2312"/>
          <w:sz w:val="32"/>
          <w:szCs w:val="32"/>
        </w:rPr>
        <w:t>内设</w:t>
      </w:r>
      <w:r>
        <w:rPr>
          <w:rFonts w:hint="eastAsia" w:ascii="仿宋_GB2312" w:hAnsi="仿宋" w:eastAsia="仿宋_GB2312" w:cs="仿宋_GB2312"/>
          <w:sz w:val="32"/>
          <w:szCs w:val="32"/>
        </w:rPr>
        <w:t>办公室、组织人事部、教务部、学员工作部、在职研究生部、干部继续教育部、行政管理部、财务部、马克思主义学院、政治学教研部、经济学教研部、党史党建教研部、管理学教研部、法学教研部、文史教研部、科研部、信息网络中心、图书馆</w:t>
      </w:r>
      <w:r>
        <w:rPr>
          <w:rFonts w:ascii="仿宋_GB2312" w:hAnsi="仿宋" w:eastAsia="仿宋_GB2312" w:cs="仿宋_GB2312"/>
          <w:sz w:val="32"/>
          <w:szCs w:val="32"/>
        </w:rPr>
        <w:t>。</w:t>
      </w:r>
      <w:r>
        <w:rPr>
          <w:rFonts w:hint="eastAsia" w:ascii="仿宋_GB2312" w:hAnsi="仿宋" w:eastAsia="仿宋_GB2312" w:cs="仿宋_GB2312"/>
          <w:sz w:val="32"/>
          <w:szCs w:val="32"/>
        </w:rPr>
        <w:t>按照规定设置校机关纪委、机关党委、机关工会。</w:t>
      </w:r>
    </w:p>
    <w:p>
      <w:pPr>
        <w:spacing w:line="580" w:lineRule="exact"/>
        <w:ind w:firstLine="480" w:firstLineChars="150"/>
        <w:rPr>
          <w:rFonts w:ascii="仿宋_GB2312" w:hAnsi="宋体" w:eastAsia="仿宋_GB2312" w:cs="Courier New"/>
          <w:sz w:val="32"/>
          <w:szCs w:val="32"/>
        </w:rPr>
      </w:pPr>
    </w:p>
    <w:p>
      <w:pPr>
        <w:spacing w:line="580" w:lineRule="exact"/>
        <w:ind w:firstLine="480" w:firstLineChars="150"/>
        <w:rPr>
          <w:rFonts w:ascii="仿宋_GB2312" w:hAnsi="宋体" w:eastAsia="仿宋_GB2312" w:cs="Courier New"/>
          <w:sz w:val="32"/>
          <w:szCs w:val="32"/>
        </w:rPr>
      </w:pPr>
    </w:p>
    <w:p>
      <w:pPr>
        <w:spacing w:line="580" w:lineRule="exact"/>
        <w:ind w:firstLine="480" w:firstLineChars="150"/>
        <w:rPr>
          <w:rFonts w:ascii="仿宋_GB2312" w:hAnsi="宋体" w:eastAsia="仿宋_GB2312" w:cs="Courier New"/>
          <w:sz w:val="32"/>
          <w:szCs w:val="32"/>
        </w:rPr>
      </w:pPr>
    </w:p>
    <w:p>
      <w:pPr>
        <w:spacing w:line="580" w:lineRule="exact"/>
        <w:ind w:firstLine="480" w:firstLineChars="150"/>
        <w:rPr>
          <w:rFonts w:ascii="仿宋_GB2312" w:hAnsi="宋体" w:eastAsia="仿宋_GB2312" w:cs="Courier New"/>
          <w:sz w:val="32"/>
          <w:szCs w:val="32"/>
        </w:rPr>
      </w:pPr>
    </w:p>
    <w:p>
      <w:pPr>
        <w:spacing w:line="580" w:lineRule="exact"/>
        <w:ind w:firstLine="480" w:firstLineChars="150"/>
        <w:rPr>
          <w:rFonts w:ascii="仿宋_GB2312" w:hAnsi="宋体" w:eastAsia="仿宋_GB2312" w:cs="Courier New"/>
          <w:sz w:val="32"/>
          <w:szCs w:val="32"/>
        </w:rPr>
      </w:pPr>
    </w:p>
    <w:p>
      <w:pPr>
        <w:spacing w:line="580" w:lineRule="exact"/>
        <w:ind w:firstLine="480" w:firstLineChars="150"/>
        <w:rPr>
          <w:rFonts w:ascii="仿宋_GB2312" w:hAnsi="宋体" w:eastAsia="仿宋_GB2312" w:cs="Courier New"/>
          <w:sz w:val="32"/>
          <w:szCs w:val="32"/>
        </w:rPr>
      </w:pPr>
    </w:p>
    <w:p>
      <w:pPr>
        <w:rPr>
          <w:rFonts w:ascii="仿宋_GB2312" w:hAnsi="宋体" w:eastAsia="仿宋_GB2312" w:cs="Courier New"/>
          <w:sz w:val="32"/>
          <w:szCs w:val="32"/>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b/>
          <w:sz w:val="48"/>
          <w:szCs w:val="48"/>
        </w:rPr>
      </w:pPr>
    </w:p>
    <w:p>
      <w:pPr>
        <w:rPr>
          <w:rFonts w:ascii="黑体" w:eastAsia="黑体"/>
          <w:sz w:val="52"/>
          <w:szCs w:val="52"/>
        </w:rPr>
      </w:pPr>
    </w:p>
    <w:p>
      <w:pPr>
        <w:rPr>
          <w:rFonts w:ascii="黑体" w:eastAsia="黑体"/>
          <w:sz w:val="52"/>
          <w:szCs w:val="52"/>
        </w:rPr>
      </w:pPr>
      <w:r>
        <w:rPr>
          <w:rFonts w:hint="eastAsia" w:ascii="黑体" w:eastAsia="黑体"/>
          <w:sz w:val="52"/>
          <w:szCs w:val="52"/>
        </w:rPr>
        <w:t>第二部分</w:t>
      </w:r>
    </w:p>
    <w:p>
      <w:pPr>
        <w:rPr>
          <w:rFonts w:ascii="黑体" w:eastAsia="黑体"/>
          <w:sz w:val="52"/>
          <w:szCs w:val="52"/>
        </w:rPr>
      </w:pPr>
    </w:p>
    <w:p>
      <w:pPr>
        <w:rPr>
          <w:rFonts w:ascii="黑体" w:eastAsia="黑体"/>
          <w:sz w:val="52"/>
          <w:szCs w:val="52"/>
        </w:rPr>
      </w:pPr>
    </w:p>
    <w:p>
      <w:pPr>
        <w:rPr>
          <w:rFonts w:ascii="黑体" w:eastAsia="黑体"/>
          <w:sz w:val="52"/>
          <w:szCs w:val="52"/>
        </w:rPr>
      </w:pPr>
    </w:p>
    <w:p>
      <w:pPr>
        <w:jc w:val="center"/>
        <w:rPr>
          <w:rFonts w:ascii="黑体" w:eastAsia="黑体"/>
          <w:sz w:val="52"/>
          <w:szCs w:val="52"/>
        </w:rPr>
      </w:pPr>
      <w:r>
        <w:rPr>
          <w:rFonts w:hint="eastAsia" w:ascii="黑体" w:eastAsia="黑体"/>
          <w:sz w:val="52"/>
          <w:szCs w:val="52"/>
        </w:rPr>
        <w:t>2019年度部门决算表</w:t>
      </w: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jc w:val="center"/>
        <w:rPr>
          <w:rFonts w:ascii="方正小标宋简体" w:eastAsia="方正小标宋简体"/>
          <w:sz w:val="44"/>
          <w:szCs w:val="44"/>
        </w:rPr>
      </w:pPr>
      <w:r>
        <w:rPr>
          <w:rFonts w:hint="eastAsia" w:ascii="方正小标宋简体" w:eastAsia="方正小标宋简体"/>
          <w:sz w:val="44"/>
          <w:szCs w:val="44"/>
        </w:rPr>
        <w:t>收入支出决算总表</w:t>
      </w:r>
    </w:p>
    <w:p>
      <w:pPr>
        <w:wordWrap w:val="0"/>
        <w:spacing w:line="400" w:lineRule="exact"/>
        <w:jc w:val="right"/>
        <w:rPr>
          <w:rFonts w:ascii="楷体_GB2312" w:eastAsia="楷体_GB2312"/>
          <w:sz w:val="28"/>
          <w:szCs w:val="28"/>
        </w:rPr>
      </w:pPr>
      <w:r>
        <w:rPr>
          <w:rFonts w:hint="eastAsia" w:ascii="楷体_GB2312" w:eastAsia="楷体_GB2312"/>
          <w:sz w:val="28"/>
          <w:szCs w:val="28"/>
        </w:rPr>
        <w:t xml:space="preserve"> 公开01表</w:t>
      </w:r>
    </w:p>
    <w:p>
      <w:pPr>
        <w:wordWrap w:val="0"/>
        <w:spacing w:line="400" w:lineRule="exact"/>
        <w:ind w:firstLine="140" w:firstLineChars="50"/>
        <w:jc w:val="right"/>
        <w:rPr>
          <w:rFonts w:ascii="楷体_GB2312" w:eastAsia="楷体_GB2312"/>
          <w:sz w:val="28"/>
          <w:szCs w:val="28"/>
        </w:rPr>
      </w:pPr>
      <w:r>
        <w:rPr>
          <w:rFonts w:hint="eastAsia" w:ascii="楷体_GB2312" w:eastAsia="楷体_GB2312"/>
          <w:sz w:val="28"/>
          <w:szCs w:val="28"/>
        </w:rPr>
        <w:t xml:space="preserve">部门：中共青岛市委党校                       </w:t>
      </w:r>
      <w:r>
        <w:rPr>
          <w:rFonts w:ascii="楷体_GB2312" w:eastAsia="楷体_GB2312"/>
          <w:sz w:val="28"/>
          <w:szCs w:val="28"/>
        </w:rPr>
        <w:t xml:space="preserve"> </w:t>
      </w:r>
      <w:r>
        <w:rPr>
          <w:rFonts w:hint="eastAsia" w:ascii="楷体_GB2312" w:eastAsia="楷体_GB2312"/>
          <w:sz w:val="28"/>
          <w:szCs w:val="28"/>
        </w:rPr>
        <w:t xml:space="preserve"> 单位：万元</w:t>
      </w:r>
    </w:p>
    <w:tbl>
      <w:tblPr>
        <w:tblStyle w:val="5"/>
        <w:tblW w:w="9130" w:type="dxa"/>
        <w:jc w:val="center"/>
        <w:tblLayout w:type="autofit"/>
        <w:tblCellMar>
          <w:top w:w="0" w:type="dxa"/>
          <w:left w:w="108" w:type="dxa"/>
          <w:bottom w:w="0" w:type="dxa"/>
          <w:right w:w="108" w:type="dxa"/>
        </w:tblCellMar>
      </w:tblPr>
      <w:tblGrid>
        <w:gridCol w:w="2893"/>
        <w:gridCol w:w="685"/>
        <w:gridCol w:w="1016"/>
        <w:gridCol w:w="2764"/>
        <w:gridCol w:w="756"/>
        <w:gridCol w:w="1016"/>
      </w:tblGrid>
      <w:tr>
        <w:tblPrEx>
          <w:tblCellMar>
            <w:top w:w="0" w:type="dxa"/>
            <w:left w:w="108" w:type="dxa"/>
            <w:bottom w:w="0" w:type="dxa"/>
            <w:right w:w="108" w:type="dxa"/>
          </w:tblCellMar>
        </w:tblPrEx>
        <w:trPr>
          <w:trHeight w:val="329" w:hRule="exact"/>
          <w:jc w:val="center"/>
        </w:trPr>
        <w:tc>
          <w:tcPr>
            <w:tcW w:w="4594"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eastAsia="仿宋_GB2312"/>
                <w:sz w:val="22"/>
                <w:szCs w:val="22"/>
              </w:rPr>
            </w:pPr>
            <w:r>
              <w:rPr>
                <w:rFonts w:hint="eastAsia" w:ascii="仿宋_GB2312" w:eastAsia="仿宋_GB2312"/>
                <w:sz w:val="22"/>
                <w:szCs w:val="22"/>
              </w:rPr>
              <w:t>收 入</w:t>
            </w:r>
          </w:p>
        </w:tc>
        <w:tc>
          <w:tcPr>
            <w:tcW w:w="4536" w:type="dxa"/>
            <w:gridSpan w:val="3"/>
            <w:tcBorders>
              <w:top w:val="single" w:color="auto" w:sz="4" w:space="0"/>
              <w:left w:val="nil"/>
              <w:bottom w:val="single" w:color="auto" w:sz="4" w:space="0"/>
              <w:right w:val="single" w:color="auto" w:sz="4" w:space="0"/>
            </w:tcBorders>
            <w:shd w:val="clear" w:color="auto" w:fill="auto"/>
            <w:noWrap/>
            <w:vAlign w:val="center"/>
          </w:tcPr>
          <w:p>
            <w:pPr>
              <w:spacing w:line="240" w:lineRule="exact"/>
              <w:jc w:val="center"/>
              <w:rPr>
                <w:rFonts w:ascii="仿宋_GB2312" w:eastAsia="仿宋_GB2312"/>
                <w:sz w:val="22"/>
                <w:szCs w:val="22"/>
              </w:rPr>
            </w:pPr>
            <w:r>
              <w:rPr>
                <w:rFonts w:hint="eastAsia" w:ascii="仿宋_GB2312" w:eastAsia="仿宋_GB2312"/>
                <w:sz w:val="22"/>
                <w:szCs w:val="22"/>
              </w:rPr>
              <w:t>支 出</w:t>
            </w:r>
          </w:p>
        </w:tc>
      </w:tr>
      <w:tr>
        <w:tblPrEx>
          <w:tblCellMar>
            <w:top w:w="0" w:type="dxa"/>
            <w:left w:w="108" w:type="dxa"/>
            <w:bottom w:w="0" w:type="dxa"/>
            <w:right w:w="108" w:type="dxa"/>
          </w:tblCellMar>
        </w:tblPrEx>
        <w:trPr>
          <w:trHeight w:val="329" w:hRule="exact"/>
          <w:jc w:val="center"/>
        </w:trPr>
        <w:tc>
          <w:tcPr>
            <w:tcW w:w="2893"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eastAsia="仿宋_GB2312"/>
                <w:sz w:val="22"/>
                <w:szCs w:val="22"/>
              </w:rPr>
            </w:pPr>
            <w:r>
              <w:rPr>
                <w:rFonts w:hint="eastAsia" w:ascii="仿宋_GB2312" w:eastAsia="仿宋_GB2312"/>
                <w:sz w:val="22"/>
                <w:szCs w:val="22"/>
              </w:rPr>
              <w:t>项 目</w:t>
            </w:r>
          </w:p>
        </w:tc>
        <w:tc>
          <w:tcPr>
            <w:tcW w:w="685"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 w:val="22"/>
                <w:szCs w:val="22"/>
              </w:rPr>
            </w:pPr>
            <w:r>
              <w:rPr>
                <w:rFonts w:hint="eastAsia" w:ascii="仿宋_GB2312" w:eastAsia="仿宋_GB2312"/>
                <w:sz w:val="22"/>
                <w:szCs w:val="22"/>
              </w:rPr>
              <w:t>行次</w:t>
            </w:r>
          </w:p>
        </w:tc>
        <w:tc>
          <w:tcPr>
            <w:tcW w:w="101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eastAsia="仿宋_GB2312"/>
                <w:sz w:val="22"/>
                <w:szCs w:val="22"/>
              </w:rPr>
            </w:pPr>
            <w:r>
              <w:rPr>
                <w:rFonts w:hint="eastAsia" w:ascii="仿宋_GB2312" w:eastAsia="仿宋_GB2312"/>
                <w:sz w:val="22"/>
                <w:szCs w:val="22"/>
              </w:rPr>
              <w:t>决算数</w:t>
            </w:r>
          </w:p>
        </w:tc>
        <w:tc>
          <w:tcPr>
            <w:tcW w:w="2764"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eastAsia="仿宋_GB2312"/>
                <w:sz w:val="22"/>
                <w:szCs w:val="22"/>
              </w:rPr>
            </w:pPr>
            <w:r>
              <w:rPr>
                <w:rFonts w:hint="eastAsia" w:ascii="仿宋_GB2312" w:eastAsia="仿宋_GB2312"/>
                <w:sz w:val="22"/>
                <w:szCs w:val="22"/>
              </w:rPr>
              <w:t>项目（按功能分类）</w:t>
            </w:r>
          </w:p>
        </w:tc>
        <w:tc>
          <w:tcPr>
            <w:tcW w:w="756" w:type="dxa"/>
            <w:tcBorders>
              <w:top w:val="nil"/>
              <w:left w:val="single" w:color="auto" w:sz="4" w:space="0"/>
              <w:bottom w:val="single" w:color="auto" w:sz="4" w:space="0"/>
              <w:right w:val="nil"/>
            </w:tcBorders>
            <w:shd w:val="clear" w:color="auto" w:fill="auto"/>
            <w:vAlign w:val="center"/>
          </w:tcPr>
          <w:p>
            <w:pPr>
              <w:spacing w:line="240" w:lineRule="exact"/>
              <w:jc w:val="center"/>
              <w:rPr>
                <w:rFonts w:ascii="仿宋_GB2312" w:eastAsia="仿宋_GB2312"/>
                <w:sz w:val="22"/>
                <w:szCs w:val="22"/>
              </w:rPr>
            </w:pPr>
            <w:r>
              <w:rPr>
                <w:rFonts w:hint="eastAsia" w:ascii="仿宋_GB2312" w:eastAsia="仿宋_GB2312"/>
                <w:sz w:val="22"/>
                <w:szCs w:val="22"/>
              </w:rPr>
              <w:t>行次</w:t>
            </w:r>
          </w:p>
        </w:tc>
        <w:tc>
          <w:tcPr>
            <w:tcW w:w="1016"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eastAsia="仿宋_GB2312"/>
                <w:sz w:val="22"/>
                <w:szCs w:val="22"/>
              </w:rPr>
            </w:pPr>
            <w:r>
              <w:rPr>
                <w:rFonts w:hint="eastAsia" w:ascii="仿宋_GB2312" w:eastAsia="仿宋_GB2312"/>
                <w:sz w:val="22"/>
                <w:szCs w:val="22"/>
              </w:rPr>
              <w:t>决算数</w:t>
            </w:r>
          </w:p>
        </w:tc>
      </w:tr>
      <w:tr>
        <w:tblPrEx>
          <w:tblCellMar>
            <w:top w:w="0" w:type="dxa"/>
            <w:left w:w="108" w:type="dxa"/>
            <w:bottom w:w="0" w:type="dxa"/>
            <w:right w:w="108" w:type="dxa"/>
          </w:tblCellMar>
        </w:tblPrEx>
        <w:trPr>
          <w:trHeight w:val="329" w:hRule="exact"/>
          <w:jc w:val="center"/>
        </w:trPr>
        <w:tc>
          <w:tcPr>
            <w:tcW w:w="2893"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eastAsia="仿宋_GB2312"/>
                <w:sz w:val="22"/>
                <w:szCs w:val="22"/>
              </w:rPr>
            </w:pPr>
            <w:r>
              <w:rPr>
                <w:rFonts w:hint="eastAsia" w:ascii="仿宋_GB2312" w:eastAsia="仿宋_GB2312"/>
                <w:sz w:val="22"/>
                <w:szCs w:val="22"/>
              </w:rPr>
              <w:t>栏 次</w:t>
            </w:r>
          </w:p>
        </w:tc>
        <w:tc>
          <w:tcPr>
            <w:tcW w:w="685"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 w:val="22"/>
                <w:szCs w:val="22"/>
              </w:rPr>
            </w:pPr>
          </w:p>
        </w:tc>
        <w:tc>
          <w:tcPr>
            <w:tcW w:w="101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eastAsia="仿宋_GB2312"/>
                <w:sz w:val="22"/>
                <w:szCs w:val="22"/>
              </w:rPr>
            </w:pPr>
            <w:r>
              <w:rPr>
                <w:rFonts w:hint="eastAsia" w:ascii="仿宋_GB2312" w:eastAsia="仿宋_GB2312"/>
                <w:sz w:val="22"/>
                <w:szCs w:val="22"/>
              </w:rPr>
              <w:t>1</w:t>
            </w:r>
          </w:p>
        </w:tc>
        <w:tc>
          <w:tcPr>
            <w:tcW w:w="2764"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eastAsia="仿宋_GB2312"/>
                <w:sz w:val="22"/>
                <w:szCs w:val="22"/>
              </w:rPr>
            </w:pPr>
            <w:r>
              <w:rPr>
                <w:rFonts w:hint="eastAsia" w:ascii="仿宋_GB2312" w:eastAsia="仿宋_GB2312"/>
                <w:sz w:val="22"/>
                <w:szCs w:val="22"/>
              </w:rPr>
              <w:t>栏 次</w:t>
            </w:r>
          </w:p>
        </w:tc>
        <w:tc>
          <w:tcPr>
            <w:tcW w:w="75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sz w:val="22"/>
                <w:szCs w:val="22"/>
              </w:rPr>
            </w:pPr>
          </w:p>
        </w:tc>
        <w:tc>
          <w:tcPr>
            <w:tcW w:w="1016"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eastAsia="仿宋_GB2312"/>
                <w:sz w:val="22"/>
                <w:szCs w:val="22"/>
              </w:rPr>
            </w:pPr>
            <w:r>
              <w:rPr>
                <w:rFonts w:hint="eastAsia" w:ascii="仿宋_GB2312" w:eastAsia="仿宋_GB2312"/>
                <w:sz w:val="22"/>
                <w:szCs w:val="22"/>
              </w:rPr>
              <w:t>2</w:t>
            </w:r>
          </w:p>
        </w:tc>
      </w:tr>
      <w:tr>
        <w:tblPrEx>
          <w:tblCellMar>
            <w:top w:w="0" w:type="dxa"/>
            <w:left w:w="108" w:type="dxa"/>
            <w:bottom w:w="0" w:type="dxa"/>
            <w:right w:w="108" w:type="dxa"/>
          </w:tblCellMar>
        </w:tblPrEx>
        <w:trPr>
          <w:trHeight w:val="329" w:hRule="exact"/>
          <w:jc w:val="center"/>
        </w:trPr>
        <w:tc>
          <w:tcPr>
            <w:tcW w:w="2893"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eastAsia="仿宋_GB2312"/>
                <w:sz w:val="18"/>
                <w:szCs w:val="18"/>
              </w:rPr>
            </w:pPr>
            <w:r>
              <w:rPr>
                <w:rFonts w:hint="eastAsia" w:ascii="仿宋_GB2312" w:eastAsia="仿宋_GB2312"/>
                <w:sz w:val="18"/>
                <w:szCs w:val="18"/>
              </w:rPr>
              <w:t>一、一般公共预算财政拨款收入</w:t>
            </w:r>
          </w:p>
        </w:tc>
        <w:tc>
          <w:tcPr>
            <w:tcW w:w="685"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1</w:t>
            </w:r>
          </w:p>
        </w:tc>
        <w:tc>
          <w:tcPr>
            <w:tcW w:w="1016" w:type="dxa"/>
            <w:tcBorders>
              <w:top w:val="nil"/>
              <w:left w:val="nil"/>
              <w:bottom w:val="single" w:color="auto" w:sz="4" w:space="0"/>
              <w:right w:val="single" w:color="auto" w:sz="4" w:space="0"/>
            </w:tcBorders>
            <w:shd w:val="clear" w:color="auto" w:fill="auto"/>
            <w:noWrap/>
            <w:vAlign w:val="center"/>
          </w:tcPr>
          <w:p>
            <w:pPr>
              <w:jc w:val="right"/>
              <w:rPr>
                <w:rFonts w:ascii="宋体" w:hAnsi="宋体" w:cs="Arial"/>
                <w:sz w:val="20"/>
                <w:szCs w:val="20"/>
              </w:rPr>
            </w:pPr>
            <w:r>
              <w:rPr>
                <w:rFonts w:hint="eastAsia" w:cs="Arial"/>
                <w:sz w:val="20"/>
                <w:szCs w:val="20"/>
              </w:rPr>
              <w:t>11,676.85</w:t>
            </w:r>
          </w:p>
        </w:tc>
        <w:tc>
          <w:tcPr>
            <w:tcW w:w="2764" w:type="dxa"/>
            <w:tcBorders>
              <w:top w:val="nil"/>
              <w:left w:val="nil"/>
              <w:bottom w:val="single" w:color="auto" w:sz="4" w:space="0"/>
              <w:right w:val="single" w:color="auto" w:sz="4" w:space="0"/>
            </w:tcBorders>
            <w:shd w:val="clear" w:color="auto" w:fill="auto"/>
            <w:noWrap/>
            <w:vAlign w:val="center"/>
          </w:tcPr>
          <w:p>
            <w:pPr>
              <w:rPr>
                <w:rFonts w:ascii="宋体" w:hAnsi="宋体" w:cs="Arial"/>
                <w:sz w:val="20"/>
                <w:szCs w:val="20"/>
              </w:rPr>
            </w:pPr>
            <w:r>
              <w:rPr>
                <w:rFonts w:hint="eastAsia" w:cs="Arial"/>
                <w:sz w:val="20"/>
                <w:szCs w:val="20"/>
              </w:rPr>
              <w:t>一、一般公共服务支出</w:t>
            </w:r>
          </w:p>
        </w:tc>
        <w:tc>
          <w:tcPr>
            <w:tcW w:w="75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30</w:t>
            </w:r>
          </w:p>
        </w:tc>
        <w:tc>
          <w:tcPr>
            <w:tcW w:w="1016" w:type="dxa"/>
            <w:tcBorders>
              <w:top w:val="nil"/>
              <w:left w:val="nil"/>
              <w:bottom w:val="single" w:color="auto" w:sz="4" w:space="0"/>
              <w:right w:val="single" w:color="auto" w:sz="4" w:space="0"/>
            </w:tcBorders>
            <w:shd w:val="clear" w:color="auto" w:fill="auto"/>
            <w:noWrap/>
            <w:vAlign w:val="center"/>
          </w:tcPr>
          <w:p>
            <w:pPr>
              <w:jc w:val="right"/>
              <w:rPr>
                <w:rFonts w:ascii="宋体" w:hAnsi="宋体" w:cs="Arial"/>
                <w:sz w:val="20"/>
                <w:szCs w:val="20"/>
              </w:rPr>
            </w:pPr>
            <w:r>
              <w:rPr>
                <w:rFonts w:hint="eastAsia" w:cs="Arial"/>
                <w:sz w:val="20"/>
                <w:szCs w:val="20"/>
              </w:rPr>
              <w:t>3,601.82</w:t>
            </w:r>
          </w:p>
        </w:tc>
      </w:tr>
      <w:tr>
        <w:tblPrEx>
          <w:tblCellMar>
            <w:top w:w="0" w:type="dxa"/>
            <w:left w:w="108" w:type="dxa"/>
            <w:bottom w:w="0" w:type="dxa"/>
            <w:right w:w="108" w:type="dxa"/>
          </w:tblCellMar>
        </w:tblPrEx>
        <w:trPr>
          <w:trHeight w:val="506" w:hRule="exact"/>
          <w:jc w:val="center"/>
        </w:trPr>
        <w:tc>
          <w:tcPr>
            <w:tcW w:w="2893"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eastAsia="仿宋_GB2312"/>
                <w:sz w:val="18"/>
                <w:szCs w:val="18"/>
              </w:rPr>
            </w:pPr>
            <w:r>
              <w:rPr>
                <w:rFonts w:hint="eastAsia" w:ascii="仿宋_GB2312" w:eastAsia="仿宋_GB2312"/>
                <w:sz w:val="18"/>
                <w:szCs w:val="18"/>
              </w:rPr>
              <w:t>二、政府性基金预算财政拨款收入</w:t>
            </w:r>
          </w:p>
        </w:tc>
        <w:tc>
          <w:tcPr>
            <w:tcW w:w="685"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2</w:t>
            </w:r>
          </w:p>
        </w:tc>
        <w:tc>
          <w:tcPr>
            <w:tcW w:w="1016" w:type="dxa"/>
            <w:tcBorders>
              <w:top w:val="nil"/>
              <w:left w:val="nil"/>
              <w:bottom w:val="single" w:color="auto" w:sz="4" w:space="0"/>
              <w:right w:val="single" w:color="auto" w:sz="4" w:space="0"/>
            </w:tcBorders>
            <w:shd w:val="clear" w:color="auto" w:fill="auto"/>
            <w:noWrap/>
            <w:vAlign w:val="center"/>
          </w:tcPr>
          <w:p>
            <w:pPr>
              <w:jc w:val="right"/>
              <w:rPr>
                <w:rFonts w:ascii="宋体" w:hAnsi="宋体" w:cs="Arial"/>
                <w:sz w:val="20"/>
                <w:szCs w:val="20"/>
              </w:rPr>
            </w:pPr>
            <w:r>
              <w:rPr>
                <w:rFonts w:hint="eastAsia" w:cs="Arial"/>
                <w:sz w:val="20"/>
                <w:szCs w:val="20"/>
              </w:rPr>
              <w:t>　</w:t>
            </w:r>
          </w:p>
        </w:tc>
        <w:tc>
          <w:tcPr>
            <w:tcW w:w="2764" w:type="dxa"/>
            <w:tcBorders>
              <w:top w:val="nil"/>
              <w:left w:val="nil"/>
              <w:bottom w:val="single" w:color="auto" w:sz="4" w:space="0"/>
              <w:right w:val="single" w:color="auto" w:sz="4" w:space="0"/>
            </w:tcBorders>
            <w:shd w:val="clear" w:color="auto" w:fill="auto"/>
            <w:noWrap/>
            <w:vAlign w:val="center"/>
          </w:tcPr>
          <w:p>
            <w:pPr>
              <w:rPr>
                <w:rFonts w:ascii="宋体" w:hAnsi="宋体" w:cs="Arial"/>
                <w:sz w:val="20"/>
                <w:szCs w:val="20"/>
              </w:rPr>
            </w:pPr>
            <w:r>
              <w:rPr>
                <w:rFonts w:hint="eastAsia" w:cs="Arial"/>
                <w:sz w:val="20"/>
                <w:szCs w:val="20"/>
              </w:rPr>
              <w:t>二、外交支出</w:t>
            </w:r>
          </w:p>
        </w:tc>
        <w:tc>
          <w:tcPr>
            <w:tcW w:w="75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31</w:t>
            </w:r>
          </w:p>
        </w:tc>
        <w:tc>
          <w:tcPr>
            <w:tcW w:w="1016" w:type="dxa"/>
            <w:tcBorders>
              <w:top w:val="nil"/>
              <w:left w:val="nil"/>
              <w:bottom w:val="single" w:color="auto" w:sz="4" w:space="0"/>
              <w:right w:val="single" w:color="auto" w:sz="4" w:space="0"/>
            </w:tcBorders>
            <w:shd w:val="clear" w:color="auto" w:fill="auto"/>
            <w:noWrap/>
            <w:vAlign w:val="center"/>
          </w:tcPr>
          <w:p>
            <w:pPr>
              <w:jc w:val="right"/>
              <w:rPr>
                <w:rFonts w:ascii="宋体" w:hAnsi="宋体"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29" w:hRule="exact"/>
          <w:jc w:val="center"/>
        </w:trPr>
        <w:tc>
          <w:tcPr>
            <w:tcW w:w="2893"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eastAsia="仿宋_GB2312"/>
                <w:sz w:val="18"/>
                <w:szCs w:val="18"/>
              </w:rPr>
            </w:pPr>
            <w:r>
              <w:rPr>
                <w:rFonts w:hint="eastAsia" w:ascii="仿宋_GB2312" w:eastAsia="仿宋_GB2312"/>
                <w:sz w:val="18"/>
                <w:szCs w:val="18"/>
              </w:rPr>
              <w:t>三、上级补助收入</w:t>
            </w:r>
          </w:p>
        </w:tc>
        <w:tc>
          <w:tcPr>
            <w:tcW w:w="685"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3</w:t>
            </w:r>
          </w:p>
        </w:tc>
        <w:tc>
          <w:tcPr>
            <w:tcW w:w="1016" w:type="dxa"/>
            <w:tcBorders>
              <w:top w:val="nil"/>
              <w:left w:val="nil"/>
              <w:bottom w:val="single" w:color="auto" w:sz="4" w:space="0"/>
              <w:right w:val="single" w:color="auto" w:sz="4" w:space="0"/>
            </w:tcBorders>
            <w:shd w:val="clear" w:color="auto" w:fill="auto"/>
            <w:noWrap/>
            <w:vAlign w:val="center"/>
          </w:tcPr>
          <w:p>
            <w:pPr>
              <w:jc w:val="right"/>
              <w:rPr>
                <w:rFonts w:ascii="宋体" w:hAnsi="宋体" w:cs="Arial"/>
                <w:sz w:val="20"/>
                <w:szCs w:val="20"/>
              </w:rPr>
            </w:pPr>
            <w:r>
              <w:rPr>
                <w:rFonts w:hint="eastAsia" w:cs="Arial"/>
                <w:sz w:val="20"/>
                <w:szCs w:val="20"/>
              </w:rPr>
              <w:t>　</w:t>
            </w:r>
          </w:p>
        </w:tc>
        <w:tc>
          <w:tcPr>
            <w:tcW w:w="2764" w:type="dxa"/>
            <w:tcBorders>
              <w:top w:val="nil"/>
              <w:left w:val="nil"/>
              <w:bottom w:val="single" w:color="auto" w:sz="4" w:space="0"/>
              <w:right w:val="single" w:color="auto" w:sz="4" w:space="0"/>
            </w:tcBorders>
            <w:shd w:val="clear" w:color="auto" w:fill="auto"/>
            <w:noWrap/>
            <w:vAlign w:val="center"/>
          </w:tcPr>
          <w:p>
            <w:pPr>
              <w:rPr>
                <w:rFonts w:ascii="宋体" w:hAnsi="宋体" w:cs="Arial"/>
                <w:sz w:val="20"/>
                <w:szCs w:val="20"/>
              </w:rPr>
            </w:pPr>
            <w:r>
              <w:rPr>
                <w:rFonts w:hint="eastAsia" w:cs="Arial"/>
                <w:sz w:val="20"/>
                <w:szCs w:val="20"/>
              </w:rPr>
              <w:t>三、国防支出</w:t>
            </w:r>
          </w:p>
        </w:tc>
        <w:tc>
          <w:tcPr>
            <w:tcW w:w="756" w:type="dxa"/>
            <w:tcBorders>
              <w:top w:val="nil"/>
              <w:left w:val="single" w:color="auto" w:sz="4" w:space="0"/>
              <w:bottom w:val="single" w:color="auto" w:sz="4" w:space="0"/>
              <w:right w:val="nil"/>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32</w:t>
            </w:r>
          </w:p>
        </w:tc>
        <w:tc>
          <w:tcPr>
            <w:tcW w:w="1016" w:type="dxa"/>
            <w:tcBorders>
              <w:top w:val="nil"/>
              <w:left w:val="single" w:color="auto" w:sz="4" w:space="0"/>
              <w:bottom w:val="single" w:color="auto" w:sz="4" w:space="0"/>
              <w:right w:val="single" w:color="auto" w:sz="4" w:space="0"/>
            </w:tcBorders>
            <w:shd w:val="clear" w:color="auto" w:fill="auto"/>
            <w:noWrap/>
            <w:vAlign w:val="center"/>
          </w:tcPr>
          <w:p>
            <w:pPr>
              <w:jc w:val="right"/>
              <w:rPr>
                <w:rFonts w:ascii="宋体" w:hAnsi="宋体"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29" w:hRule="exact"/>
          <w:jc w:val="center"/>
        </w:trPr>
        <w:tc>
          <w:tcPr>
            <w:tcW w:w="2893"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eastAsia="仿宋_GB2312"/>
                <w:sz w:val="18"/>
                <w:szCs w:val="18"/>
              </w:rPr>
            </w:pPr>
            <w:r>
              <w:rPr>
                <w:rFonts w:hint="eastAsia" w:ascii="仿宋_GB2312" w:eastAsia="仿宋_GB2312"/>
                <w:sz w:val="18"/>
                <w:szCs w:val="18"/>
              </w:rPr>
              <w:t>四、事业收入</w:t>
            </w:r>
          </w:p>
        </w:tc>
        <w:tc>
          <w:tcPr>
            <w:tcW w:w="685"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4</w:t>
            </w:r>
          </w:p>
        </w:tc>
        <w:tc>
          <w:tcPr>
            <w:tcW w:w="1016"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458.36</w:t>
            </w:r>
          </w:p>
        </w:tc>
        <w:tc>
          <w:tcPr>
            <w:tcW w:w="2764" w:type="dxa"/>
            <w:tcBorders>
              <w:top w:val="nil"/>
              <w:left w:val="nil"/>
              <w:bottom w:val="single" w:color="auto" w:sz="4" w:space="0"/>
              <w:right w:val="single" w:color="auto" w:sz="4" w:space="0"/>
            </w:tcBorders>
            <w:shd w:val="clear" w:color="auto" w:fill="auto"/>
            <w:vAlign w:val="center"/>
          </w:tcPr>
          <w:p>
            <w:pPr>
              <w:rPr>
                <w:rFonts w:ascii="宋体" w:hAnsi="宋体" w:cs="Arial"/>
                <w:sz w:val="20"/>
                <w:szCs w:val="20"/>
              </w:rPr>
            </w:pPr>
            <w:r>
              <w:rPr>
                <w:rFonts w:hint="eastAsia" w:cs="Arial"/>
                <w:sz w:val="20"/>
                <w:szCs w:val="20"/>
              </w:rPr>
              <w:t>四、公共安全支出</w:t>
            </w:r>
          </w:p>
        </w:tc>
        <w:tc>
          <w:tcPr>
            <w:tcW w:w="756" w:type="dxa"/>
            <w:tcBorders>
              <w:top w:val="nil"/>
              <w:left w:val="single" w:color="auto" w:sz="4" w:space="0"/>
              <w:bottom w:val="single" w:color="auto" w:sz="4" w:space="0"/>
              <w:right w:val="nil"/>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33</w:t>
            </w:r>
          </w:p>
        </w:tc>
        <w:tc>
          <w:tcPr>
            <w:tcW w:w="1016"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29" w:hRule="exact"/>
          <w:jc w:val="center"/>
        </w:trPr>
        <w:tc>
          <w:tcPr>
            <w:tcW w:w="2893"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eastAsia="仿宋_GB2312"/>
                <w:sz w:val="18"/>
                <w:szCs w:val="18"/>
              </w:rPr>
            </w:pPr>
            <w:r>
              <w:rPr>
                <w:rFonts w:hint="eastAsia" w:ascii="仿宋_GB2312" w:eastAsia="仿宋_GB2312"/>
                <w:sz w:val="18"/>
                <w:szCs w:val="18"/>
              </w:rPr>
              <w:t>五、经营收入</w:t>
            </w:r>
          </w:p>
        </w:tc>
        <w:tc>
          <w:tcPr>
            <w:tcW w:w="685"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5</w:t>
            </w:r>
          </w:p>
        </w:tc>
        <w:tc>
          <w:tcPr>
            <w:tcW w:w="1016"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　</w:t>
            </w:r>
          </w:p>
        </w:tc>
        <w:tc>
          <w:tcPr>
            <w:tcW w:w="2764" w:type="dxa"/>
            <w:tcBorders>
              <w:top w:val="nil"/>
              <w:left w:val="nil"/>
              <w:bottom w:val="single" w:color="auto" w:sz="4" w:space="0"/>
              <w:right w:val="single" w:color="auto" w:sz="4" w:space="0"/>
            </w:tcBorders>
            <w:shd w:val="clear" w:color="auto" w:fill="auto"/>
            <w:vAlign w:val="center"/>
          </w:tcPr>
          <w:p>
            <w:pPr>
              <w:rPr>
                <w:rFonts w:ascii="宋体" w:hAnsi="宋体" w:cs="Arial"/>
                <w:sz w:val="20"/>
                <w:szCs w:val="20"/>
              </w:rPr>
            </w:pPr>
            <w:r>
              <w:rPr>
                <w:rFonts w:hint="eastAsia" w:cs="Arial"/>
                <w:sz w:val="20"/>
                <w:szCs w:val="20"/>
              </w:rPr>
              <w:t>五、教育支出</w:t>
            </w:r>
          </w:p>
        </w:tc>
        <w:tc>
          <w:tcPr>
            <w:tcW w:w="756" w:type="dxa"/>
            <w:tcBorders>
              <w:top w:val="nil"/>
              <w:left w:val="single" w:color="auto" w:sz="4" w:space="0"/>
              <w:bottom w:val="single" w:color="auto" w:sz="4" w:space="0"/>
              <w:right w:val="nil"/>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34</w:t>
            </w:r>
          </w:p>
        </w:tc>
        <w:tc>
          <w:tcPr>
            <w:tcW w:w="1016"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8,130.78</w:t>
            </w:r>
          </w:p>
        </w:tc>
      </w:tr>
      <w:tr>
        <w:tblPrEx>
          <w:tblCellMar>
            <w:top w:w="0" w:type="dxa"/>
            <w:left w:w="108" w:type="dxa"/>
            <w:bottom w:w="0" w:type="dxa"/>
            <w:right w:w="108" w:type="dxa"/>
          </w:tblCellMar>
        </w:tblPrEx>
        <w:trPr>
          <w:trHeight w:val="329" w:hRule="exact"/>
          <w:jc w:val="center"/>
        </w:trPr>
        <w:tc>
          <w:tcPr>
            <w:tcW w:w="2893"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eastAsia="仿宋_GB2312"/>
                <w:sz w:val="18"/>
                <w:szCs w:val="18"/>
              </w:rPr>
            </w:pPr>
            <w:r>
              <w:rPr>
                <w:rFonts w:hint="eastAsia" w:ascii="仿宋_GB2312" w:eastAsia="仿宋_GB2312"/>
                <w:sz w:val="18"/>
                <w:szCs w:val="18"/>
              </w:rPr>
              <w:t>六、附属单位上缴收入</w:t>
            </w:r>
          </w:p>
        </w:tc>
        <w:tc>
          <w:tcPr>
            <w:tcW w:w="685"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6</w:t>
            </w:r>
          </w:p>
        </w:tc>
        <w:tc>
          <w:tcPr>
            <w:tcW w:w="1016"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　</w:t>
            </w:r>
          </w:p>
        </w:tc>
        <w:tc>
          <w:tcPr>
            <w:tcW w:w="2764" w:type="dxa"/>
            <w:tcBorders>
              <w:top w:val="nil"/>
              <w:left w:val="nil"/>
              <w:bottom w:val="single" w:color="auto" w:sz="4" w:space="0"/>
              <w:right w:val="single" w:color="auto" w:sz="4" w:space="0"/>
            </w:tcBorders>
            <w:shd w:val="clear" w:color="auto" w:fill="auto"/>
            <w:vAlign w:val="center"/>
          </w:tcPr>
          <w:p>
            <w:pPr>
              <w:rPr>
                <w:rFonts w:ascii="宋体" w:hAnsi="宋体" w:cs="Arial"/>
                <w:sz w:val="20"/>
                <w:szCs w:val="20"/>
              </w:rPr>
            </w:pPr>
            <w:r>
              <w:rPr>
                <w:rFonts w:hint="eastAsia" w:cs="Arial"/>
                <w:sz w:val="20"/>
                <w:szCs w:val="20"/>
              </w:rPr>
              <w:t>六、科学技术支出</w:t>
            </w:r>
          </w:p>
        </w:tc>
        <w:tc>
          <w:tcPr>
            <w:tcW w:w="756" w:type="dxa"/>
            <w:tcBorders>
              <w:top w:val="nil"/>
              <w:left w:val="single" w:color="auto" w:sz="4" w:space="0"/>
              <w:bottom w:val="single" w:color="auto" w:sz="4" w:space="0"/>
              <w:right w:val="nil"/>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35</w:t>
            </w:r>
          </w:p>
        </w:tc>
        <w:tc>
          <w:tcPr>
            <w:tcW w:w="1016"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2.66</w:t>
            </w:r>
          </w:p>
        </w:tc>
      </w:tr>
      <w:tr>
        <w:tblPrEx>
          <w:tblCellMar>
            <w:top w:w="0" w:type="dxa"/>
            <w:left w:w="108" w:type="dxa"/>
            <w:bottom w:w="0" w:type="dxa"/>
            <w:right w:w="108" w:type="dxa"/>
          </w:tblCellMar>
        </w:tblPrEx>
        <w:trPr>
          <w:trHeight w:val="329" w:hRule="exact"/>
          <w:jc w:val="center"/>
        </w:trPr>
        <w:tc>
          <w:tcPr>
            <w:tcW w:w="2893"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eastAsia="仿宋_GB2312"/>
                <w:sz w:val="18"/>
                <w:szCs w:val="18"/>
              </w:rPr>
            </w:pPr>
            <w:r>
              <w:rPr>
                <w:rFonts w:hint="eastAsia" w:ascii="仿宋_GB2312" w:eastAsia="仿宋_GB2312"/>
                <w:sz w:val="18"/>
                <w:szCs w:val="18"/>
              </w:rPr>
              <w:t>七、其他收入</w:t>
            </w:r>
          </w:p>
        </w:tc>
        <w:tc>
          <w:tcPr>
            <w:tcW w:w="685"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7</w:t>
            </w:r>
          </w:p>
        </w:tc>
        <w:tc>
          <w:tcPr>
            <w:tcW w:w="1016"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177.31</w:t>
            </w:r>
          </w:p>
        </w:tc>
        <w:tc>
          <w:tcPr>
            <w:tcW w:w="2764" w:type="dxa"/>
            <w:tcBorders>
              <w:top w:val="nil"/>
              <w:left w:val="nil"/>
              <w:bottom w:val="single" w:color="auto" w:sz="4" w:space="0"/>
              <w:right w:val="single" w:color="auto" w:sz="4" w:space="0"/>
            </w:tcBorders>
            <w:shd w:val="clear" w:color="auto" w:fill="auto"/>
            <w:vAlign w:val="center"/>
          </w:tcPr>
          <w:p>
            <w:pPr>
              <w:rPr>
                <w:rFonts w:ascii="宋体" w:hAnsi="宋体" w:cs="Arial"/>
                <w:sz w:val="20"/>
                <w:szCs w:val="20"/>
              </w:rPr>
            </w:pPr>
            <w:r>
              <w:rPr>
                <w:rFonts w:hint="eastAsia" w:cs="Arial"/>
                <w:sz w:val="20"/>
                <w:szCs w:val="20"/>
              </w:rPr>
              <w:t>七、文化旅游体育与传媒支出</w:t>
            </w:r>
          </w:p>
        </w:tc>
        <w:tc>
          <w:tcPr>
            <w:tcW w:w="756" w:type="dxa"/>
            <w:tcBorders>
              <w:top w:val="nil"/>
              <w:left w:val="single" w:color="auto" w:sz="4" w:space="0"/>
              <w:bottom w:val="single" w:color="auto" w:sz="4" w:space="0"/>
              <w:right w:val="nil"/>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36</w:t>
            </w:r>
          </w:p>
        </w:tc>
        <w:tc>
          <w:tcPr>
            <w:tcW w:w="1016"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29" w:hRule="exact"/>
          <w:jc w:val="center"/>
        </w:trPr>
        <w:tc>
          <w:tcPr>
            <w:tcW w:w="2893"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eastAsia="仿宋_GB2312"/>
                <w:sz w:val="18"/>
                <w:szCs w:val="18"/>
              </w:rPr>
            </w:pPr>
          </w:p>
        </w:tc>
        <w:tc>
          <w:tcPr>
            <w:tcW w:w="685"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8</w:t>
            </w:r>
          </w:p>
        </w:tc>
        <w:tc>
          <w:tcPr>
            <w:tcW w:w="101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p>
        </w:tc>
        <w:tc>
          <w:tcPr>
            <w:tcW w:w="2764" w:type="dxa"/>
            <w:tcBorders>
              <w:top w:val="nil"/>
              <w:left w:val="nil"/>
              <w:bottom w:val="single" w:color="auto" w:sz="4" w:space="0"/>
              <w:right w:val="single" w:color="auto" w:sz="4" w:space="0"/>
            </w:tcBorders>
            <w:shd w:val="clear" w:color="auto" w:fill="auto"/>
            <w:vAlign w:val="center"/>
          </w:tcPr>
          <w:p>
            <w:pPr>
              <w:rPr>
                <w:rFonts w:ascii="宋体" w:hAnsi="宋体" w:cs="Arial"/>
                <w:sz w:val="20"/>
                <w:szCs w:val="20"/>
              </w:rPr>
            </w:pPr>
            <w:r>
              <w:rPr>
                <w:rFonts w:hint="eastAsia" w:cs="Arial"/>
                <w:sz w:val="20"/>
                <w:szCs w:val="20"/>
              </w:rPr>
              <w:t>八、社会保障和就业支出</w:t>
            </w:r>
          </w:p>
        </w:tc>
        <w:tc>
          <w:tcPr>
            <w:tcW w:w="756" w:type="dxa"/>
            <w:tcBorders>
              <w:top w:val="nil"/>
              <w:left w:val="single" w:color="auto" w:sz="4" w:space="0"/>
              <w:bottom w:val="single" w:color="auto" w:sz="4" w:space="0"/>
              <w:right w:val="nil"/>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37</w:t>
            </w:r>
          </w:p>
        </w:tc>
        <w:tc>
          <w:tcPr>
            <w:tcW w:w="1016"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324.37</w:t>
            </w:r>
          </w:p>
        </w:tc>
      </w:tr>
      <w:tr>
        <w:tblPrEx>
          <w:tblCellMar>
            <w:top w:w="0" w:type="dxa"/>
            <w:left w:w="108" w:type="dxa"/>
            <w:bottom w:w="0" w:type="dxa"/>
            <w:right w:w="108" w:type="dxa"/>
          </w:tblCellMar>
        </w:tblPrEx>
        <w:trPr>
          <w:trHeight w:val="329" w:hRule="exact"/>
          <w:jc w:val="center"/>
        </w:trPr>
        <w:tc>
          <w:tcPr>
            <w:tcW w:w="2893"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eastAsia="仿宋_GB2312"/>
                <w:sz w:val="18"/>
                <w:szCs w:val="18"/>
              </w:rPr>
            </w:pPr>
          </w:p>
        </w:tc>
        <w:tc>
          <w:tcPr>
            <w:tcW w:w="685"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9</w:t>
            </w:r>
          </w:p>
        </w:tc>
        <w:tc>
          <w:tcPr>
            <w:tcW w:w="101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p>
        </w:tc>
        <w:tc>
          <w:tcPr>
            <w:tcW w:w="2764" w:type="dxa"/>
            <w:tcBorders>
              <w:top w:val="nil"/>
              <w:left w:val="nil"/>
              <w:bottom w:val="single" w:color="auto" w:sz="4" w:space="0"/>
              <w:right w:val="single" w:color="auto" w:sz="4" w:space="0"/>
            </w:tcBorders>
            <w:shd w:val="clear" w:color="auto" w:fill="auto"/>
            <w:vAlign w:val="center"/>
          </w:tcPr>
          <w:p>
            <w:pPr>
              <w:rPr>
                <w:rFonts w:ascii="宋体" w:hAnsi="宋体" w:cs="Arial"/>
                <w:sz w:val="20"/>
                <w:szCs w:val="20"/>
              </w:rPr>
            </w:pPr>
            <w:r>
              <w:rPr>
                <w:rFonts w:hint="eastAsia" w:cs="Arial"/>
                <w:sz w:val="20"/>
                <w:szCs w:val="20"/>
              </w:rPr>
              <w:t>九、卫生健康支出</w:t>
            </w:r>
          </w:p>
        </w:tc>
        <w:tc>
          <w:tcPr>
            <w:tcW w:w="756" w:type="dxa"/>
            <w:tcBorders>
              <w:top w:val="nil"/>
              <w:left w:val="single" w:color="auto" w:sz="4" w:space="0"/>
              <w:bottom w:val="single" w:color="auto" w:sz="4" w:space="0"/>
              <w:right w:val="nil"/>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38</w:t>
            </w:r>
          </w:p>
        </w:tc>
        <w:tc>
          <w:tcPr>
            <w:tcW w:w="1016"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29" w:hRule="exact"/>
          <w:jc w:val="center"/>
        </w:trPr>
        <w:tc>
          <w:tcPr>
            <w:tcW w:w="2893"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eastAsia="仿宋_GB2312"/>
                <w:sz w:val="18"/>
                <w:szCs w:val="18"/>
              </w:rPr>
            </w:pPr>
          </w:p>
        </w:tc>
        <w:tc>
          <w:tcPr>
            <w:tcW w:w="685"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10</w:t>
            </w:r>
          </w:p>
        </w:tc>
        <w:tc>
          <w:tcPr>
            <w:tcW w:w="101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p>
        </w:tc>
        <w:tc>
          <w:tcPr>
            <w:tcW w:w="2764" w:type="dxa"/>
            <w:tcBorders>
              <w:top w:val="nil"/>
              <w:left w:val="nil"/>
              <w:bottom w:val="single" w:color="auto" w:sz="4" w:space="0"/>
              <w:right w:val="single" w:color="auto" w:sz="4" w:space="0"/>
            </w:tcBorders>
            <w:shd w:val="clear" w:color="auto" w:fill="auto"/>
            <w:vAlign w:val="center"/>
          </w:tcPr>
          <w:p>
            <w:pPr>
              <w:rPr>
                <w:rFonts w:ascii="宋体" w:hAnsi="宋体" w:cs="Arial"/>
                <w:sz w:val="20"/>
                <w:szCs w:val="20"/>
              </w:rPr>
            </w:pPr>
            <w:r>
              <w:rPr>
                <w:rFonts w:hint="eastAsia" w:cs="Arial"/>
                <w:sz w:val="20"/>
                <w:szCs w:val="20"/>
              </w:rPr>
              <w:t>十、节能环保支出</w:t>
            </w:r>
          </w:p>
        </w:tc>
        <w:tc>
          <w:tcPr>
            <w:tcW w:w="756" w:type="dxa"/>
            <w:tcBorders>
              <w:top w:val="nil"/>
              <w:left w:val="single" w:color="auto" w:sz="4" w:space="0"/>
              <w:bottom w:val="single" w:color="auto" w:sz="4" w:space="0"/>
              <w:right w:val="nil"/>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39</w:t>
            </w:r>
          </w:p>
        </w:tc>
        <w:tc>
          <w:tcPr>
            <w:tcW w:w="1016"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29" w:hRule="exact"/>
          <w:jc w:val="center"/>
        </w:trPr>
        <w:tc>
          <w:tcPr>
            <w:tcW w:w="2893"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eastAsia="仿宋_GB2312"/>
                <w:sz w:val="18"/>
                <w:szCs w:val="18"/>
              </w:rPr>
            </w:pPr>
          </w:p>
        </w:tc>
        <w:tc>
          <w:tcPr>
            <w:tcW w:w="685"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11</w:t>
            </w:r>
          </w:p>
        </w:tc>
        <w:tc>
          <w:tcPr>
            <w:tcW w:w="101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p>
        </w:tc>
        <w:tc>
          <w:tcPr>
            <w:tcW w:w="2764" w:type="dxa"/>
            <w:tcBorders>
              <w:top w:val="nil"/>
              <w:left w:val="nil"/>
              <w:bottom w:val="single" w:color="auto" w:sz="4" w:space="0"/>
              <w:right w:val="single" w:color="auto" w:sz="4" w:space="0"/>
            </w:tcBorders>
            <w:shd w:val="clear" w:color="auto" w:fill="auto"/>
            <w:vAlign w:val="center"/>
          </w:tcPr>
          <w:p>
            <w:pPr>
              <w:rPr>
                <w:rFonts w:ascii="宋体" w:hAnsi="宋体" w:cs="Arial"/>
                <w:sz w:val="20"/>
                <w:szCs w:val="20"/>
              </w:rPr>
            </w:pPr>
            <w:r>
              <w:rPr>
                <w:rFonts w:hint="eastAsia" w:cs="Arial"/>
                <w:sz w:val="20"/>
                <w:szCs w:val="20"/>
              </w:rPr>
              <w:t>十一、城乡社区支出</w:t>
            </w:r>
          </w:p>
        </w:tc>
        <w:tc>
          <w:tcPr>
            <w:tcW w:w="756" w:type="dxa"/>
            <w:tcBorders>
              <w:top w:val="nil"/>
              <w:left w:val="single" w:color="auto" w:sz="4" w:space="0"/>
              <w:bottom w:val="single" w:color="auto" w:sz="4" w:space="0"/>
              <w:right w:val="nil"/>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40</w:t>
            </w:r>
          </w:p>
        </w:tc>
        <w:tc>
          <w:tcPr>
            <w:tcW w:w="1016"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29" w:hRule="exact"/>
          <w:jc w:val="center"/>
        </w:trPr>
        <w:tc>
          <w:tcPr>
            <w:tcW w:w="2893"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eastAsia="仿宋_GB2312"/>
                <w:sz w:val="18"/>
                <w:szCs w:val="18"/>
              </w:rPr>
            </w:pPr>
          </w:p>
        </w:tc>
        <w:tc>
          <w:tcPr>
            <w:tcW w:w="685"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12</w:t>
            </w:r>
          </w:p>
        </w:tc>
        <w:tc>
          <w:tcPr>
            <w:tcW w:w="101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p>
        </w:tc>
        <w:tc>
          <w:tcPr>
            <w:tcW w:w="2764" w:type="dxa"/>
            <w:tcBorders>
              <w:top w:val="nil"/>
              <w:left w:val="nil"/>
              <w:bottom w:val="single" w:color="auto" w:sz="4" w:space="0"/>
              <w:right w:val="single" w:color="auto" w:sz="4" w:space="0"/>
            </w:tcBorders>
            <w:shd w:val="clear" w:color="auto" w:fill="auto"/>
            <w:vAlign w:val="center"/>
          </w:tcPr>
          <w:p>
            <w:pPr>
              <w:rPr>
                <w:rFonts w:ascii="宋体" w:hAnsi="宋体" w:cs="Arial"/>
                <w:sz w:val="20"/>
                <w:szCs w:val="20"/>
              </w:rPr>
            </w:pPr>
            <w:r>
              <w:rPr>
                <w:rFonts w:hint="eastAsia" w:cs="Arial"/>
                <w:sz w:val="20"/>
                <w:szCs w:val="20"/>
              </w:rPr>
              <w:t>十二、农林水支出</w:t>
            </w:r>
          </w:p>
        </w:tc>
        <w:tc>
          <w:tcPr>
            <w:tcW w:w="756" w:type="dxa"/>
            <w:tcBorders>
              <w:top w:val="nil"/>
              <w:left w:val="single" w:color="auto" w:sz="4" w:space="0"/>
              <w:bottom w:val="single" w:color="auto" w:sz="4" w:space="0"/>
              <w:right w:val="nil"/>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41</w:t>
            </w:r>
          </w:p>
        </w:tc>
        <w:tc>
          <w:tcPr>
            <w:tcW w:w="1016" w:type="dxa"/>
            <w:tcBorders>
              <w:top w:val="nil"/>
              <w:left w:val="single" w:color="auto" w:sz="4" w:space="0"/>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29" w:hRule="exact"/>
          <w:jc w:val="center"/>
        </w:trPr>
        <w:tc>
          <w:tcPr>
            <w:tcW w:w="2893"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eastAsia="仿宋_GB2312"/>
                <w:sz w:val="18"/>
                <w:szCs w:val="18"/>
              </w:rPr>
            </w:pPr>
          </w:p>
        </w:tc>
        <w:tc>
          <w:tcPr>
            <w:tcW w:w="685"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13</w:t>
            </w:r>
          </w:p>
        </w:tc>
        <w:tc>
          <w:tcPr>
            <w:tcW w:w="101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p>
        </w:tc>
        <w:tc>
          <w:tcPr>
            <w:tcW w:w="2764" w:type="dxa"/>
            <w:tcBorders>
              <w:top w:val="nil"/>
              <w:left w:val="nil"/>
              <w:bottom w:val="single" w:color="auto" w:sz="4" w:space="0"/>
              <w:right w:val="single" w:color="auto" w:sz="4" w:space="0"/>
            </w:tcBorders>
            <w:shd w:val="clear" w:color="auto" w:fill="auto"/>
            <w:vAlign w:val="center"/>
          </w:tcPr>
          <w:p>
            <w:pPr>
              <w:rPr>
                <w:rFonts w:ascii="宋体" w:hAnsi="宋体" w:cs="Arial"/>
                <w:sz w:val="20"/>
                <w:szCs w:val="20"/>
              </w:rPr>
            </w:pPr>
            <w:r>
              <w:rPr>
                <w:rFonts w:hint="eastAsia" w:cs="Arial"/>
                <w:sz w:val="20"/>
                <w:szCs w:val="20"/>
              </w:rPr>
              <w:t>十三、交通运输支出</w:t>
            </w:r>
          </w:p>
        </w:tc>
        <w:tc>
          <w:tcPr>
            <w:tcW w:w="75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42</w:t>
            </w:r>
          </w:p>
        </w:tc>
        <w:tc>
          <w:tcPr>
            <w:tcW w:w="1016"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29" w:hRule="exact"/>
          <w:jc w:val="center"/>
        </w:trPr>
        <w:tc>
          <w:tcPr>
            <w:tcW w:w="2893"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eastAsia="仿宋_GB2312"/>
                <w:sz w:val="18"/>
                <w:szCs w:val="18"/>
              </w:rPr>
            </w:pPr>
          </w:p>
        </w:tc>
        <w:tc>
          <w:tcPr>
            <w:tcW w:w="685"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14</w:t>
            </w:r>
          </w:p>
        </w:tc>
        <w:tc>
          <w:tcPr>
            <w:tcW w:w="101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p>
        </w:tc>
        <w:tc>
          <w:tcPr>
            <w:tcW w:w="2764" w:type="dxa"/>
            <w:tcBorders>
              <w:top w:val="nil"/>
              <w:left w:val="nil"/>
              <w:bottom w:val="single" w:color="auto" w:sz="4" w:space="0"/>
              <w:right w:val="single" w:color="auto" w:sz="4" w:space="0"/>
            </w:tcBorders>
            <w:shd w:val="clear" w:color="auto" w:fill="auto"/>
            <w:vAlign w:val="center"/>
          </w:tcPr>
          <w:p>
            <w:pPr>
              <w:rPr>
                <w:rFonts w:ascii="宋体" w:hAnsi="宋体" w:cs="Arial"/>
                <w:sz w:val="20"/>
                <w:szCs w:val="20"/>
              </w:rPr>
            </w:pPr>
            <w:r>
              <w:rPr>
                <w:rFonts w:hint="eastAsia" w:cs="Arial"/>
                <w:sz w:val="20"/>
                <w:szCs w:val="20"/>
              </w:rPr>
              <w:t>十四、资源勘探信息等支出</w:t>
            </w:r>
          </w:p>
        </w:tc>
        <w:tc>
          <w:tcPr>
            <w:tcW w:w="75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43</w:t>
            </w:r>
          </w:p>
        </w:tc>
        <w:tc>
          <w:tcPr>
            <w:tcW w:w="1016"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29" w:hRule="exact"/>
          <w:jc w:val="center"/>
        </w:trPr>
        <w:tc>
          <w:tcPr>
            <w:tcW w:w="2893"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eastAsia="仿宋_GB2312"/>
                <w:sz w:val="18"/>
                <w:szCs w:val="18"/>
              </w:rPr>
            </w:pPr>
          </w:p>
        </w:tc>
        <w:tc>
          <w:tcPr>
            <w:tcW w:w="685"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15</w:t>
            </w:r>
          </w:p>
        </w:tc>
        <w:tc>
          <w:tcPr>
            <w:tcW w:w="101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p>
        </w:tc>
        <w:tc>
          <w:tcPr>
            <w:tcW w:w="2764" w:type="dxa"/>
            <w:tcBorders>
              <w:top w:val="nil"/>
              <w:left w:val="nil"/>
              <w:bottom w:val="single" w:color="auto" w:sz="4" w:space="0"/>
              <w:right w:val="single" w:color="auto" w:sz="4" w:space="0"/>
            </w:tcBorders>
            <w:shd w:val="clear" w:color="auto" w:fill="auto"/>
            <w:noWrap/>
            <w:vAlign w:val="center"/>
          </w:tcPr>
          <w:p>
            <w:pPr>
              <w:rPr>
                <w:rFonts w:ascii="宋体" w:hAnsi="宋体" w:cs="Arial"/>
                <w:sz w:val="20"/>
                <w:szCs w:val="20"/>
              </w:rPr>
            </w:pPr>
            <w:r>
              <w:rPr>
                <w:rFonts w:hint="eastAsia" w:cs="Arial"/>
                <w:sz w:val="20"/>
                <w:szCs w:val="20"/>
              </w:rPr>
              <w:t>十五、商业服务业等支出</w:t>
            </w:r>
          </w:p>
        </w:tc>
        <w:tc>
          <w:tcPr>
            <w:tcW w:w="75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44</w:t>
            </w:r>
          </w:p>
        </w:tc>
        <w:tc>
          <w:tcPr>
            <w:tcW w:w="1016"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29" w:hRule="exact"/>
          <w:jc w:val="center"/>
        </w:trPr>
        <w:tc>
          <w:tcPr>
            <w:tcW w:w="2893"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eastAsia="仿宋_GB2312"/>
                <w:sz w:val="18"/>
                <w:szCs w:val="18"/>
              </w:rPr>
            </w:pPr>
          </w:p>
        </w:tc>
        <w:tc>
          <w:tcPr>
            <w:tcW w:w="685"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16</w:t>
            </w:r>
          </w:p>
        </w:tc>
        <w:tc>
          <w:tcPr>
            <w:tcW w:w="101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p>
        </w:tc>
        <w:tc>
          <w:tcPr>
            <w:tcW w:w="2764" w:type="dxa"/>
            <w:tcBorders>
              <w:top w:val="nil"/>
              <w:left w:val="nil"/>
              <w:bottom w:val="single" w:color="auto" w:sz="4" w:space="0"/>
              <w:right w:val="single" w:color="auto" w:sz="4" w:space="0"/>
            </w:tcBorders>
            <w:shd w:val="clear" w:color="auto" w:fill="auto"/>
            <w:noWrap/>
            <w:vAlign w:val="center"/>
          </w:tcPr>
          <w:p>
            <w:pPr>
              <w:rPr>
                <w:rFonts w:ascii="宋体" w:hAnsi="宋体" w:cs="Arial"/>
                <w:sz w:val="20"/>
                <w:szCs w:val="20"/>
              </w:rPr>
            </w:pPr>
            <w:r>
              <w:rPr>
                <w:rFonts w:hint="eastAsia" w:cs="Arial"/>
                <w:sz w:val="20"/>
                <w:szCs w:val="20"/>
              </w:rPr>
              <w:t>十六、金融支出</w:t>
            </w:r>
          </w:p>
        </w:tc>
        <w:tc>
          <w:tcPr>
            <w:tcW w:w="75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45</w:t>
            </w:r>
          </w:p>
        </w:tc>
        <w:tc>
          <w:tcPr>
            <w:tcW w:w="1016"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29" w:hRule="exact"/>
          <w:jc w:val="center"/>
        </w:trPr>
        <w:tc>
          <w:tcPr>
            <w:tcW w:w="2893"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eastAsia="仿宋_GB2312"/>
                <w:sz w:val="18"/>
                <w:szCs w:val="18"/>
              </w:rPr>
            </w:pPr>
          </w:p>
        </w:tc>
        <w:tc>
          <w:tcPr>
            <w:tcW w:w="685"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17</w:t>
            </w:r>
          </w:p>
        </w:tc>
        <w:tc>
          <w:tcPr>
            <w:tcW w:w="101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p>
        </w:tc>
        <w:tc>
          <w:tcPr>
            <w:tcW w:w="2764" w:type="dxa"/>
            <w:tcBorders>
              <w:top w:val="nil"/>
              <w:left w:val="nil"/>
              <w:bottom w:val="single" w:color="auto" w:sz="4" w:space="0"/>
              <w:right w:val="single" w:color="auto" w:sz="4" w:space="0"/>
            </w:tcBorders>
            <w:shd w:val="clear" w:color="auto" w:fill="auto"/>
            <w:noWrap/>
            <w:vAlign w:val="center"/>
          </w:tcPr>
          <w:p>
            <w:pPr>
              <w:rPr>
                <w:rFonts w:ascii="宋体" w:hAnsi="宋体" w:cs="Arial"/>
                <w:sz w:val="20"/>
                <w:szCs w:val="20"/>
              </w:rPr>
            </w:pPr>
            <w:r>
              <w:rPr>
                <w:rFonts w:hint="eastAsia" w:cs="Arial"/>
                <w:sz w:val="20"/>
                <w:szCs w:val="20"/>
              </w:rPr>
              <w:t>十七、援助其他地区支出</w:t>
            </w:r>
          </w:p>
        </w:tc>
        <w:tc>
          <w:tcPr>
            <w:tcW w:w="75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46</w:t>
            </w:r>
          </w:p>
        </w:tc>
        <w:tc>
          <w:tcPr>
            <w:tcW w:w="1016"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29" w:hRule="exact"/>
          <w:jc w:val="center"/>
        </w:trPr>
        <w:tc>
          <w:tcPr>
            <w:tcW w:w="2893"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eastAsia="仿宋_GB2312"/>
                <w:sz w:val="18"/>
                <w:szCs w:val="18"/>
              </w:rPr>
            </w:pPr>
          </w:p>
        </w:tc>
        <w:tc>
          <w:tcPr>
            <w:tcW w:w="685"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18</w:t>
            </w:r>
          </w:p>
        </w:tc>
        <w:tc>
          <w:tcPr>
            <w:tcW w:w="101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p>
        </w:tc>
        <w:tc>
          <w:tcPr>
            <w:tcW w:w="2764" w:type="dxa"/>
            <w:tcBorders>
              <w:top w:val="nil"/>
              <w:left w:val="nil"/>
              <w:bottom w:val="single" w:color="auto" w:sz="4" w:space="0"/>
              <w:right w:val="single" w:color="auto" w:sz="4" w:space="0"/>
            </w:tcBorders>
            <w:shd w:val="clear" w:color="auto" w:fill="auto"/>
            <w:noWrap/>
            <w:vAlign w:val="center"/>
          </w:tcPr>
          <w:p>
            <w:pPr>
              <w:rPr>
                <w:rFonts w:ascii="宋体" w:hAnsi="宋体" w:cs="Arial"/>
                <w:sz w:val="20"/>
                <w:szCs w:val="20"/>
              </w:rPr>
            </w:pPr>
            <w:r>
              <w:rPr>
                <w:rFonts w:hint="eastAsia" w:cs="Arial"/>
                <w:sz w:val="20"/>
                <w:szCs w:val="20"/>
              </w:rPr>
              <w:t>十八、自然资源海洋气象等支出</w:t>
            </w:r>
          </w:p>
        </w:tc>
        <w:tc>
          <w:tcPr>
            <w:tcW w:w="75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47</w:t>
            </w:r>
          </w:p>
        </w:tc>
        <w:tc>
          <w:tcPr>
            <w:tcW w:w="1016"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29" w:hRule="exact"/>
          <w:jc w:val="center"/>
        </w:trPr>
        <w:tc>
          <w:tcPr>
            <w:tcW w:w="2893"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eastAsia="仿宋_GB2312"/>
                <w:sz w:val="18"/>
                <w:szCs w:val="18"/>
              </w:rPr>
            </w:pPr>
          </w:p>
        </w:tc>
        <w:tc>
          <w:tcPr>
            <w:tcW w:w="685"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19</w:t>
            </w:r>
          </w:p>
        </w:tc>
        <w:tc>
          <w:tcPr>
            <w:tcW w:w="101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p>
        </w:tc>
        <w:tc>
          <w:tcPr>
            <w:tcW w:w="2764" w:type="dxa"/>
            <w:tcBorders>
              <w:top w:val="nil"/>
              <w:left w:val="nil"/>
              <w:bottom w:val="single" w:color="auto" w:sz="4" w:space="0"/>
              <w:right w:val="single" w:color="auto" w:sz="4" w:space="0"/>
            </w:tcBorders>
            <w:shd w:val="clear" w:color="auto" w:fill="auto"/>
            <w:noWrap/>
            <w:vAlign w:val="center"/>
          </w:tcPr>
          <w:p>
            <w:pPr>
              <w:rPr>
                <w:rFonts w:ascii="宋体" w:hAnsi="宋体" w:cs="Arial"/>
                <w:sz w:val="20"/>
                <w:szCs w:val="20"/>
              </w:rPr>
            </w:pPr>
            <w:r>
              <w:rPr>
                <w:rFonts w:hint="eastAsia" w:cs="Arial"/>
                <w:sz w:val="20"/>
                <w:szCs w:val="20"/>
              </w:rPr>
              <w:t>十九、住房保障支出</w:t>
            </w:r>
          </w:p>
        </w:tc>
        <w:tc>
          <w:tcPr>
            <w:tcW w:w="75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48</w:t>
            </w:r>
          </w:p>
        </w:tc>
        <w:tc>
          <w:tcPr>
            <w:tcW w:w="1016"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279.98</w:t>
            </w:r>
          </w:p>
        </w:tc>
      </w:tr>
      <w:tr>
        <w:tblPrEx>
          <w:tblCellMar>
            <w:top w:w="0" w:type="dxa"/>
            <w:left w:w="108" w:type="dxa"/>
            <w:bottom w:w="0" w:type="dxa"/>
            <w:right w:w="108" w:type="dxa"/>
          </w:tblCellMar>
        </w:tblPrEx>
        <w:trPr>
          <w:trHeight w:val="329" w:hRule="exact"/>
          <w:jc w:val="center"/>
        </w:trPr>
        <w:tc>
          <w:tcPr>
            <w:tcW w:w="2893"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eastAsia="仿宋_GB2312"/>
                <w:sz w:val="18"/>
                <w:szCs w:val="18"/>
              </w:rPr>
            </w:pPr>
          </w:p>
        </w:tc>
        <w:tc>
          <w:tcPr>
            <w:tcW w:w="685"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20</w:t>
            </w:r>
          </w:p>
        </w:tc>
        <w:tc>
          <w:tcPr>
            <w:tcW w:w="101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p>
        </w:tc>
        <w:tc>
          <w:tcPr>
            <w:tcW w:w="2764" w:type="dxa"/>
            <w:tcBorders>
              <w:top w:val="nil"/>
              <w:left w:val="nil"/>
              <w:bottom w:val="single" w:color="auto" w:sz="4" w:space="0"/>
              <w:right w:val="single" w:color="auto" w:sz="4" w:space="0"/>
            </w:tcBorders>
            <w:shd w:val="clear" w:color="auto" w:fill="auto"/>
            <w:noWrap/>
            <w:vAlign w:val="center"/>
          </w:tcPr>
          <w:p>
            <w:pPr>
              <w:rPr>
                <w:rFonts w:ascii="宋体" w:hAnsi="宋体" w:cs="Arial"/>
                <w:sz w:val="20"/>
                <w:szCs w:val="20"/>
              </w:rPr>
            </w:pPr>
            <w:r>
              <w:rPr>
                <w:rFonts w:hint="eastAsia" w:cs="Arial"/>
                <w:sz w:val="20"/>
                <w:szCs w:val="20"/>
              </w:rPr>
              <w:t>二十、粮油物资储备支出</w:t>
            </w:r>
          </w:p>
        </w:tc>
        <w:tc>
          <w:tcPr>
            <w:tcW w:w="75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49</w:t>
            </w:r>
          </w:p>
        </w:tc>
        <w:tc>
          <w:tcPr>
            <w:tcW w:w="1016"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29" w:hRule="exact"/>
          <w:jc w:val="center"/>
        </w:trPr>
        <w:tc>
          <w:tcPr>
            <w:tcW w:w="2893"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eastAsia="仿宋_GB2312"/>
                <w:sz w:val="18"/>
                <w:szCs w:val="18"/>
              </w:rPr>
            </w:pPr>
          </w:p>
        </w:tc>
        <w:tc>
          <w:tcPr>
            <w:tcW w:w="685"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21</w:t>
            </w:r>
          </w:p>
        </w:tc>
        <w:tc>
          <w:tcPr>
            <w:tcW w:w="101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p>
        </w:tc>
        <w:tc>
          <w:tcPr>
            <w:tcW w:w="2764" w:type="dxa"/>
            <w:tcBorders>
              <w:top w:val="nil"/>
              <w:left w:val="nil"/>
              <w:bottom w:val="single" w:color="auto" w:sz="4" w:space="0"/>
              <w:right w:val="single" w:color="auto" w:sz="4" w:space="0"/>
            </w:tcBorders>
            <w:shd w:val="clear" w:color="auto" w:fill="auto"/>
            <w:noWrap/>
            <w:vAlign w:val="center"/>
          </w:tcPr>
          <w:p>
            <w:pPr>
              <w:rPr>
                <w:rFonts w:ascii="宋体" w:hAnsi="宋体" w:cs="Arial"/>
                <w:sz w:val="20"/>
                <w:szCs w:val="20"/>
              </w:rPr>
            </w:pPr>
            <w:r>
              <w:rPr>
                <w:rFonts w:hint="eastAsia" w:cs="Arial"/>
                <w:sz w:val="20"/>
                <w:szCs w:val="20"/>
              </w:rPr>
              <w:t>二十一、灾害防治及应急管理支出</w:t>
            </w:r>
          </w:p>
        </w:tc>
        <w:tc>
          <w:tcPr>
            <w:tcW w:w="75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50</w:t>
            </w:r>
          </w:p>
        </w:tc>
        <w:tc>
          <w:tcPr>
            <w:tcW w:w="1016"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29" w:hRule="exact"/>
          <w:jc w:val="center"/>
        </w:trPr>
        <w:tc>
          <w:tcPr>
            <w:tcW w:w="2893"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eastAsia="仿宋_GB2312"/>
                <w:sz w:val="18"/>
                <w:szCs w:val="18"/>
              </w:rPr>
            </w:pPr>
          </w:p>
        </w:tc>
        <w:tc>
          <w:tcPr>
            <w:tcW w:w="685"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22</w:t>
            </w:r>
          </w:p>
        </w:tc>
        <w:tc>
          <w:tcPr>
            <w:tcW w:w="101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p>
        </w:tc>
        <w:tc>
          <w:tcPr>
            <w:tcW w:w="2764" w:type="dxa"/>
            <w:tcBorders>
              <w:top w:val="nil"/>
              <w:left w:val="nil"/>
              <w:bottom w:val="single" w:color="auto" w:sz="4" w:space="0"/>
              <w:right w:val="single" w:color="auto" w:sz="4" w:space="0"/>
            </w:tcBorders>
            <w:shd w:val="clear" w:color="auto" w:fill="auto"/>
            <w:noWrap/>
            <w:vAlign w:val="center"/>
          </w:tcPr>
          <w:p>
            <w:pPr>
              <w:rPr>
                <w:rFonts w:ascii="宋体" w:hAnsi="宋体" w:cs="Arial"/>
                <w:sz w:val="20"/>
                <w:szCs w:val="20"/>
              </w:rPr>
            </w:pPr>
            <w:r>
              <w:rPr>
                <w:rFonts w:hint="eastAsia" w:cs="Arial"/>
                <w:sz w:val="20"/>
                <w:szCs w:val="20"/>
              </w:rPr>
              <w:t>二十二、其他支出</w:t>
            </w:r>
          </w:p>
        </w:tc>
        <w:tc>
          <w:tcPr>
            <w:tcW w:w="75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51</w:t>
            </w:r>
          </w:p>
        </w:tc>
        <w:tc>
          <w:tcPr>
            <w:tcW w:w="1016"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29" w:hRule="exact"/>
          <w:jc w:val="center"/>
        </w:trPr>
        <w:tc>
          <w:tcPr>
            <w:tcW w:w="2893"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eastAsia="仿宋_GB2312"/>
                <w:sz w:val="18"/>
                <w:szCs w:val="18"/>
              </w:rPr>
            </w:pPr>
          </w:p>
        </w:tc>
        <w:tc>
          <w:tcPr>
            <w:tcW w:w="685"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23</w:t>
            </w:r>
          </w:p>
        </w:tc>
        <w:tc>
          <w:tcPr>
            <w:tcW w:w="101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p>
        </w:tc>
        <w:tc>
          <w:tcPr>
            <w:tcW w:w="2764" w:type="dxa"/>
            <w:tcBorders>
              <w:top w:val="nil"/>
              <w:left w:val="nil"/>
              <w:bottom w:val="single" w:color="auto" w:sz="4" w:space="0"/>
              <w:right w:val="single" w:color="auto" w:sz="4" w:space="0"/>
            </w:tcBorders>
            <w:shd w:val="clear" w:color="auto" w:fill="auto"/>
            <w:noWrap/>
            <w:vAlign w:val="center"/>
          </w:tcPr>
          <w:p>
            <w:pPr>
              <w:rPr>
                <w:rFonts w:ascii="宋体" w:hAnsi="宋体" w:cs="Arial"/>
                <w:sz w:val="20"/>
                <w:szCs w:val="20"/>
              </w:rPr>
            </w:pPr>
            <w:r>
              <w:rPr>
                <w:rFonts w:hint="eastAsia" w:cs="Arial"/>
                <w:sz w:val="20"/>
                <w:szCs w:val="20"/>
              </w:rPr>
              <w:t>二十三、债务还本支出</w:t>
            </w:r>
          </w:p>
        </w:tc>
        <w:tc>
          <w:tcPr>
            <w:tcW w:w="75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52</w:t>
            </w:r>
          </w:p>
        </w:tc>
        <w:tc>
          <w:tcPr>
            <w:tcW w:w="1016"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29" w:hRule="exact"/>
          <w:jc w:val="center"/>
        </w:trPr>
        <w:tc>
          <w:tcPr>
            <w:tcW w:w="2893"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eastAsia="仿宋_GB2312"/>
                <w:sz w:val="18"/>
                <w:szCs w:val="18"/>
              </w:rPr>
            </w:pPr>
          </w:p>
        </w:tc>
        <w:tc>
          <w:tcPr>
            <w:tcW w:w="685"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24</w:t>
            </w:r>
          </w:p>
        </w:tc>
        <w:tc>
          <w:tcPr>
            <w:tcW w:w="101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p>
        </w:tc>
        <w:tc>
          <w:tcPr>
            <w:tcW w:w="2764" w:type="dxa"/>
            <w:tcBorders>
              <w:top w:val="nil"/>
              <w:left w:val="nil"/>
              <w:bottom w:val="single" w:color="auto" w:sz="4" w:space="0"/>
              <w:right w:val="single" w:color="auto" w:sz="4" w:space="0"/>
            </w:tcBorders>
            <w:shd w:val="clear" w:color="auto" w:fill="auto"/>
            <w:noWrap/>
            <w:vAlign w:val="center"/>
          </w:tcPr>
          <w:p>
            <w:pPr>
              <w:rPr>
                <w:rFonts w:ascii="宋体" w:hAnsi="宋体" w:cs="Arial"/>
                <w:sz w:val="20"/>
                <w:szCs w:val="20"/>
              </w:rPr>
            </w:pPr>
            <w:r>
              <w:rPr>
                <w:rFonts w:hint="eastAsia" w:cs="Arial"/>
                <w:sz w:val="20"/>
                <w:szCs w:val="20"/>
              </w:rPr>
              <w:t>二十四、债务付息支出</w:t>
            </w:r>
          </w:p>
        </w:tc>
        <w:tc>
          <w:tcPr>
            <w:tcW w:w="75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53</w:t>
            </w:r>
          </w:p>
        </w:tc>
        <w:tc>
          <w:tcPr>
            <w:tcW w:w="1016"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29" w:hRule="exact"/>
          <w:jc w:val="center"/>
        </w:trPr>
        <w:tc>
          <w:tcPr>
            <w:tcW w:w="2893"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eastAsia="仿宋_GB2312"/>
                <w:sz w:val="18"/>
                <w:szCs w:val="18"/>
              </w:rPr>
            </w:pPr>
            <w:r>
              <w:rPr>
                <w:rFonts w:hint="eastAsia" w:ascii="仿宋_GB2312" w:eastAsia="仿宋_GB2312"/>
                <w:sz w:val="18"/>
                <w:szCs w:val="18"/>
              </w:rPr>
              <w:t>本年收入合计</w:t>
            </w:r>
          </w:p>
        </w:tc>
        <w:tc>
          <w:tcPr>
            <w:tcW w:w="685"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25</w:t>
            </w:r>
          </w:p>
        </w:tc>
        <w:tc>
          <w:tcPr>
            <w:tcW w:w="1016"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12,312.53</w:t>
            </w:r>
          </w:p>
        </w:tc>
        <w:tc>
          <w:tcPr>
            <w:tcW w:w="2764"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eastAsia="仿宋_GB2312"/>
                <w:sz w:val="18"/>
                <w:szCs w:val="18"/>
              </w:rPr>
            </w:pPr>
            <w:r>
              <w:rPr>
                <w:rFonts w:hint="eastAsia" w:ascii="仿宋_GB2312" w:eastAsia="仿宋_GB2312"/>
                <w:sz w:val="18"/>
                <w:szCs w:val="18"/>
              </w:rPr>
              <w:t>本年支出合计</w:t>
            </w:r>
          </w:p>
        </w:tc>
        <w:tc>
          <w:tcPr>
            <w:tcW w:w="75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54</w:t>
            </w:r>
          </w:p>
        </w:tc>
        <w:tc>
          <w:tcPr>
            <w:tcW w:w="1016"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12,339.61</w:t>
            </w:r>
          </w:p>
        </w:tc>
      </w:tr>
      <w:tr>
        <w:tblPrEx>
          <w:tblCellMar>
            <w:top w:w="0" w:type="dxa"/>
            <w:left w:w="108" w:type="dxa"/>
            <w:bottom w:w="0" w:type="dxa"/>
            <w:right w:w="108" w:type="dxa"/>
          </w:tblCellMar>
        </w:tblPrEx>
        <w:trPr>
          <w:trHeight w:val="329" w:hRule="exact"/>
          <w:jc w:val="center"/>
        </w:trPr>
        <w:tc>
          <w:tcPr>
            <w:tcW w:w="2893"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eastAsia="仿宋_GB2312"/>
                <w:sz w:val="18"/>
                <w:szCs w:val="18"/>
              </w:rPr>
            </w:pPr>
            <w:r>
              <w:rPr>
                <w:rFonts w:hint="eastAsia" w:ascii="仿宋_GB2312" w:eastAsia="仿宋_GB2312"/>
                <w:sz w:val="18"/>
                <w:szCs w:val="18"/>
              </w:rPr>
              <w:t>用事业基金弥补收支差额</w:t>
            </w:r>
          </w:p>
        </w:tc>
        <w:tc>
          <w:tcPr>
            <w:tcW w:w="685"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26</w:t>
            </w:r>
          </w:p>
        </w:tc>
        <w:tc>
          <w:tcPr>
            <w:tcW w:w="1016"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27.08</w:t>
            </w:r>
          </w:p>
        </w:tc>
        <w:tc>
          <w:tcPr>
            <w:tcW w:w="2764" w:type="dxa"/>
            <w:tcBorders>
              <w:top w:val="nil"/>
              <w:left w:val="nil"/>
              <w:bottom w:val="single" w:color="auto" w:sz="4" w:space="0"/>
              <w:right w:val="single" w:color="auto" w:sz="4" w:space="0"/>
            </w:tcBorders>
            <w:shd w:val="clear" w:color="auto" w:fill="auto"/>
            <w:noWrap/>
            <w:vAlign w:val="center"/>
          </w:tcPr>
          <w:p>
            <w:pPr>
              <w:spacing w:line="240" w:lineRule="exact"/>
              <w:jc w:val="left"/>
              <w:rPr>
                <w:rFonts w:ascii="仿宋_GB2312" w:eastAsia="仿宋_GB2312"/>
                <w:sz w:val="18"/>
                <w:szCs w:val="18"/>
              </w:rPr>
            </w:pPr>
            <w:r>
              <w:rPr>
                <w:rFonts w:hint="eastAsia" w:ascii="仿宋_GB2312" w:eastAsia="仿宋_GB2312"/>
                <w:sz w:val="18"/>
                <w:szCs w:val="18"/>
              </w:rPr>
              <w:t>结余分配</w:t>
            </w:r>
          </w:p>
        </w:tc>
        <w:tc>
          <w:tcPr>
            <w:tcW w:w="75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55</w:t>
            </w:r>
          </w:p>
        </w:tc>
        <w:tc>
          <w:tcPr>
            <w:tcW w:w="1016"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29" w:hRule="exact"/>
          <w:jc w:val="center"/>
        </w:trPr>
        <w:tc>
          <w:tcPr>
            <w:tcW w:w="2893"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left"/>
              <w:rPr>
                <w:rFonts w:ascii="仿宋_GB2312" w:eastAsia="仿宋_GB2312"/>
                <w:sz w:val="18"/>
                <w:szCs w:val="18"/>
              </w:rPr>
            </w:pPr>
            <w:r>
              <w:rPr>
                <w:rFonts w:hint="eastAsia" w:ascii="仿宋_GB2312" w:eastAsia="仿宋_GB2312"/>
                <w:sz w:val="18"/>
                <w:szCs w:val="18"/>
              </w:rPr>
              <w:t>年初结转和结余</w:t>
            </w:r>
          </w:p>
        </w:tc>
        <w:tc>
          <w:tcPr>
            <w:tcW w:w="685"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27</w:t>
            </w:r>
          </w:p>
        </w:tc>
        <w:tc>
          <w:tcPr>
            <w:tcW w:w="1016"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　</w:t>
            </w:r>
          </w:p>
        </w:tc>
        <w:tc>
          <w:tcPr>
            <w:tcW w:w="2764" w:type="dxa"/>
            <w:tcBorders>
              <w:top w:val="nil"/>
              <w:left w:val="nil"/>
              <w:bottom w:val="single" w:color="auto" w:sz="4" w:space="0"/>
              <w:right w:val="single" w:color="auto" w:sz="4" w:space="0"/>
            </w:tcBorders>
            <w:shd w:val="clear" w:color="auto" w:fill="auto"/>
            <w:noWrap/>
            <w:vAlign w:val="center"/>
          </w:tcPr>
          <w:p>
            <w:pPr>
              <w:spacing w:line="240" w:lineRule="exact"/>
              <w:jc w:val="left"/>
              <w:rPr>
                <w:rFonts w:ascii="仿宋_GB2312" w:eastAsia="仿宋_GB2312"/>
                <w:sz w:val="18"/>
                <w:szCs w:val="18"/>
              </w:rPr>
            </w:pPr>
            <w:r>
              <w:rPr>
                <w:rFonts w:hint="eastAsia" w:ascii="仿宋_GB2312" w:eastAsia="仿宋_GB2312"/>
                <w:sz w:val="18"/>
                <w:szCs w:val="18"/>
              </w:rPr>
              <w:t>年末结转和结余</w:t>
            </w:r>
          </w:p>
        </w:tc>
        <w:tc>
          <w:tcPr>
            <w:tcW w:w="75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56</w:t>
            </w:r>
          </w:p>
        </w:tc>
        <w:tc>
          <w:tcPr>
            <w:tcW w:w="1016"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29" w:hRule="exact"/>
          <w:jc w:val="center"/>
        </w:trPr>
        <w:tc>
          <w:tcPr>
            <w:tcW w:w="2893"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eastAsia="仿宋_GB2312"/>
                <w:sz w:val="18"/>
                <w:szCs w:val="18"/>
              </w:rPr>
            </w:pPr>
          </w:p>
        </w:tc>
        <w:tc>
          <w:tcPr>
            <w:tcW w:w="685"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28</w:t>
            </w:r>
          </w:p>
        </w:tc>
        <w:tc>
          <w:tcPr>
            <w:tcW w:w="1016"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　</w:t>
            </w:r>
          </w:p>
        </w:tc>
        <w:tc>
          <w:tcPr>
            <w:tcW w:w="2764"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eastAsia="仿宋_GB2312"/>
                <w:sz w:val="18"/>
                <w:szCs w:val="18"/>
              </w:rPr>
            </w:pPr>
          </w:p>
        </w:tc>
        <w:tc>
          <w:tcPr>
            <w:tcW w:w="75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57</w:t>
            </w:r>
          </w:p>
        </w:tc>
        <w:tc>
          <w:tcPr>
            <w:tcW w:w="1016" w:type="dxa"/>
            <w:tcBorders>
              <w:top w:val="nil"/>
              <w:left w:val="nil"/>
              <w:bottom w:val="single" w:color="auto" w:sz="4" w:space="0"/>
              <w:right w:val="single" w:color="auto" w:sz="4" w:space="0"/>
            </w:tcBorders>
            <w:shd w:val="clear" w:color="auto" w:fill="auto"/>
            <w:vAlign w:val="center"/>
          </w:tcPr>
          <w:p>
            <w:pPr>
              <w:rPr>
                <w:rFonts w:ascii="宋体" w:hAnsi="宋体" w:cs="Arial"/>
                <w:sz w:val="20"/>
                <w:szCs w:val="20"/>
              </w:rPr>
            </w:pPr>
            <w:r>
              <w:rPr>
                <w:rFonts w:hint="eastAsia" w:cs="Arial"/>
                <w:sz w:val="20"/>
                <w:szCs w:val="20"/>
              </w:rPr>
              <w:t>　</w:t>
            </w:r>
          </w:p>
        </w:tc>
      </w:tr>
      <w:tr>
        <w:tblPrEx>
          <w:tblCellMar>
            <w:top w:w="0" w:type="dxa"/>
            <w:left w:w="108" w:type="dxa"/>
            <w:bottom w:w="0" w:type="dxa"/>
            <w:right w:w="108" w:type="dxa"/>
          </w:tblCellMar>
        </w:tblPrEx>
        <w:trPr>
          <w:trHeight w:val="329" w:hRule="exact"/>
          <w:jc w:val="center"/>
        </w:trPr>
        <w:tc>
          <w:tcPr>
            <w:tcW w:w="2893" w:type="dxa"/>
            <w:tcBorders>
              <w:top w:val="nil"/>
              <w:left w:val="single" w:color="auto" w:sz="4" w:space="0"/>
              <w:bottom w:val="single" w:color="auto" w:sz="4" w:space="0"/>
              <w:right w:val="single" w:color="auto" w:sz="4" w:space="0"/>
            </w:tcBorders>
            <w:shd w:val="clear" w:color="auto" w:fill="auto"/>
            <w:noWrap/>
            <w:vAlign w:val="center"/>
          </w:tcPr>
          <w:p>
            <w:pPr>
              <w:spacing w:line="240" w:lineRule="exact"/>
              <w:jc w:val="center"/>
              <w:rPr>
                <w:rFonts w:ascii="仿宋_GB2312" w:eastAsia="仿宋_GB2312"/>
                <w:sz w:val="18"/>
                <w:szCs w:val="18"/>
              </w:rPr>
            </w:pPr>
            <w:r>
              <w:rPr>
                <w:rFonts w:hint="eastAsia" w:ascii="仿宋_GB2312" w:eastAsia="仿宋_GB2312"/>
                <w:sz w:val="18"/>
                <w:szCs w:val="18"/>
              </w:rPr>
              <w:t>总计</w:t>
            </w:r>
          </w:p>
        </w:tc>
        <w:tc>
          <w:tcPr>
            <w:tcW w:w="685" w:type="dxa"/>
            <w:tcBorders>
              <w:top w:val="nil"/>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29</w:t>
            </w:r>
          </w:p>
        </w:tc>
        <w:tc>
          <w:tcPr>
            <w:tcW w:w="1016"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12,339.61</w:t>
            </w:r>
          </w:p>
        </w:tc>
        <w:tc>
          <w:tcPr>
            <w:tcW w:w="2764" w:type="dxa"/>
            <w:tcBorders>
              <w:top w:val="nil"/>
              <w:left w:val="nil"/>
              <w:bottom w:val="single" w:color="auto" w:sz="4" w:space="0"/>
              <w:right w:val="single" w:color="auto" w:sz="4" w:space="0"/>
            </w:tcBorders>
            <w:shd w:val="clear" w:color="auto" w:fill="auto"/>
            <w:noWrap/>
            <w:vAlign w:val="center"/>
          </w:tcPr>
          <w:p>
            <w:pPr>
              <w:spacing w:line="240" w:lineRule="exact"/>
              <w:jc w:val="center"/>
              <w:rPr>
                <w:rFonts w:ascii="仿宋_GB2312" w:eastAsia="仿宋_GB2312"/>
                <w:sz w:val="18"/>
                <w:szCs w:val="18"/>
              </w:rPr>
            </w:pPr>
            <w:r>
              <w:rPr>
                <w:rFonts w:hint="eastAsia" w:ascii="仿宋_GB2312" w:eastAsia="仿宋_GB2312"/>
                <w:sz w:val="18"/>
                <w:szCs w:val="18"/>
              </w:rPr>
              <w:t>总计</w:t>
            </w:r>
          </w:p>
        </w:tc>
        <w:tc>
          <w:tcPr>
            <w:tcW w:w="756" w:type="dxa"/>
            <w:tcBorders>
              <w:top w:val="nil"/>
              <w:left w:val="nil"/>
              <w:bottom w:val="single" w:color="auto" w:sz="4" w:space="0"/>
              <w:right w:val="single" w:color="auto" w:sz="4" w:space="0"/>
            </w:tcBorders>
            <w:shd w:val="clear" w:color="auto" w:fill="auto"/>
            <w:vAlign w:val="center"/>
          </w:tcPr>
          <w:p>
            <w:pPr>
              <w:spacing w:line="240" w:lineRule="exact"/>
              <w:jc w:val="center"/>
              <w:rPr>
                <w:rFonts w:ascii="仿宋_GB2312" w:eastAsia="仿宋_GB2312"/>
                <w:sz w:val="18"/>
                <w:szCs w:val="18"/>
              </w:rPr>
            </w:pPr>
            <w:r>
              <w:rPr>
                <w:rFonts w:hint="eastAsia" w:ascii="仿宋_GB2312" w:eastAsia="仿宋_GB2312"/>
                <w:sz w:val="18"/>
                <w:szCs w:val="18"/>
              </w:rPr>
              <w:t>58</w:t>
            </w:r>
          </w:p>
        </w:tc>
        <w:tc>
          <w:tcPr>
            <w:tcW w:w="1016" w:type="dxa"/>
            <w:tcBorders>
              <w:top w:val="nil"/>
              <w:left w:val="nil"/>
              <w:bottom w:val="single" w:color="auto" w:sz="4" w:space="0"/>
              <w:right w:val="single" w:color="auto" w:sz="4" w:space="0"/>
            </w:tcBorders>
            <w:shd w:val="clear" w:color="auto" w:fill="auto"/>
            <w:vAlign w:val="center"/>
          </w:tcPr>
          <w:p>
            <w:pPr>
              <w:jc w:val="right"/>
              <w:rPr>
                <w:rFonts w:ascii="宋体" w:hAnsi="宋体" w:cs="Arial"/>
                <w:sz w:val="20"/>
                <w:szCs w:val="20"/>
              </w:rPr>
            </w:pPr>
            <w:r>
              <w:rPr>
                <w:rFonts w:hint="eastAsia" w:cs="Arial"/>
                <w:sz w:val="20"/>
                <w:szCs w:val="20"/>
              </w:rPr>
              <w:t>12,339.61</w:t>
            </w:r>
          </w:p>
        </w:tc>
      </w:tr>
    </w:tbl>
    <w:p>
      <w:pPr>
        <w:ind w:firstLine="90" w:firstLineChars="50"/>
        <w:rPr>
          <w:rFonts w:ascii="楷体_GB2312" w:eastAsia="楷体_GB2312"/>
          <w:sz w:val="18"/>
          <w:szCs w:val="18"/>
        </w:rPr>
      </w:pPr>
      <w:r>
        <w:rPr>
          <w:rFonts w:hint="eastAsia" w:ascii="仿宋_GB2312" w:hAnsi="宋体" w:eastAsia="仿宋_GB2312"/>
          <w:sz w:val="18"/>
          <w:szCs w:val="18"/>
        </w:rPr>
        <w:t>注：本表反映部门本年度的总收支和年末结转结余情况。</w:t>
      </w:r>
    </w:p>
    <w:p>
      <w:pPr>
        <w:jc w:val="center"/>
        <w:rPr>
          <w:rFonts w:ascii="黑体" w:eastAsia="黑体"/>
          <w:b/>
          <w:sz w:val="30"/>
          <w:szCs w:val="30"/>
        </w:rPr>
        <w:sectPr>
          <w:footerReference r:id="rId3" w:type="default"/>
          <w:footerReference r:id="rId4" w:type="even"/>
          <w:pgSz w:w="11906" w:h="16838"/>
          <w:pgMar w:top="1440" w:right="1800" w:bottom="1440" w:left="1800" w:header="851" w:footer="992" w:gutter="0"/>
          <w:cols w:space="425" w:num="1"/>
          <w:docGrid w:type="lines" w:linePitch="312" w:charSpace="0"/>
        </w:sectPr>
      </w:pPr>
    </w:p>
    <w:p>
      <w:pPr>
        <w:jc w:val="center"/>
        <w:rPr>
          <w:rFonts w:ascii="方正小标宋简体" w:eastAsia="方正小标宋简体"/>
          <w:sz w:val="44"/>
          <w:szCs w:val="44"/>
        </w:rPr>
      </w:pPr>
      <w:r>
        <w:rPr>
          <w:rFonts w:hint="eastAsia" w:ascii="方正小标宋简体" w:eastAsia="方正小标宋简体"/>
          <w:sz w:val="44"/>
          <w:szCs w:val="44"/>
        </w:rPr>
        <w:t>收入决算表</w:t>
      </w:r>
    </w:p>
    <w:p>
      <w:pPr>
        <w:wordWrap w:val="0"/>
        <w:spacing w:line="400" w:lineRule="exact"/>
        <w:jc w:val="right"/>
        <w:rPr>
          <w:rFonts w:ascii="楷体_GB2312" w:eastAsia="楷体_GB2312"/>
          <w:sz w:val="28"/>
          <w:szCs w:val="28"/>
        </w:rPr>
      </w:pPr>
      <w:r>
        <w:rPr>
          <w:rFonts w:hint="eastAsia" w:ascii="楷体_GB2312" w:eastAsia="楷体_GB2312"/>
          <w:sz w:val="28"/>
          <w:szCs w:val="28"/>
        </w:rPr>
        <w:t xml:space="preserve"> 公开02表 </w:t>
      </w:r>
    </w:p>
    <w:p>
      <w:pPr>
        <w:tabs>
          <w:tab w:val="left" w:pos="13467"/>
        </w:tabs>
        <w:wordWrap w:val="0"/>
        <w:spacing w:line="400" w:lineRule="exact"/>
        <w:ind w:right="107"/>
        <w:jc w:val="right"/>
        <w:rPr>
          <w:rFonts w:ascii="楷体_GB2312" w:eastAsia="楷体_GB2312"/>
          <w:sz w:val="28"/>
          <w:szCs w:val="28"/>
        </w:rPr>
      </w:pPr>
      <w:r>
        <w:rPr>
          <w:rFonts w:hint="eastAsia" w:ascii="楷体_GB2312" w:eastAsia="楷体_GB2312"/>
          <w:sz w:val="28"/>
          <w:szCs w:val="28"/>
        </w:rPr>
        <w:t xml:space="preserve">部门：中共青岛市委党校                                         </w:t>
      </w:r>
      <w:r>
        <w:rPr>
          <w:rFonts w:ascii="楷体_GB2312" w:eastAsia="楷体_GB2312"/>
          <w:sz w:val="28"/>
          <w:szCs w:val="28"/>
        </w:rPr>
        <w:t xml:space="preserve">  </w:t>
      </w:r>
      <w:r>
        <w:rPr>
          <w:rFonts w:hint="eastAsia" w:ascii="楷体_GB2312" w:eastAsia="楷体_GB2312"/>
          <w:sz w:val="28"/>
          <w:szCs w:val="28"/>
        </w:rPr>
        <w:t xml:space="preserve">              </w:t>
      </w:r>
      <w:r>
        <w:rPr>
          <w:rFonts w:ascii="楷体_GB2312" w:eastAsia="楷体_GB2312"/>
          <w:sz w:val="28"/>
          <w:szCs w:val="28"/>
        </w:rPr>
        <w:t xml:space="preserve">    </w:t>
      </w:r>
      <w:r>
        <w:rPr>
          <w:rFonts w:hint="eastAsia" w:ascii="楷体_GB2312" w:eastAsia="楷体_GB2312"/>
          <w:sz w:val="28"/>
          <w:szCs w:val="28"/>
        </w:rPr>
        <w:t xml:space="preserve"> 单位：万元</w:t>
      </w:r>
    </w:p>
    <w:tbl>
      <w:tblPr>
        <w:tblStyle w:val="5"/>
        <w:tblW w:w="5075" w:type="pct"/>
        <w:jc w:val="center"/>
        <w:tblLayout w:type="autofit"/>
        <w:tblCellMar>
          <w:top w:w="0" w:type="dxa"/>
          <w:left w:w="108" w:type="dxa"/>
          <w:bottom w:w="0" w:type="dxa"/>
          <w:right w:w="108" w:type="dxa"/>
        </w:tblCellMar>
      </w:tblPr>
      <w:tblGrid>
        <w:gridCol w:w="1809"/>
        <w:gridCol w:w="197"/>
        <w:gridCol w:w="3212"/>
        <w:gridCol w:w="1449"/>
        <w:gridCol w:w="1236"/>
        <w:gridCol w:w="1275"/>
        <w:gridCol w:w="1134"/>
        <w:gridCol w:w="1275"/>
        <w:gridCol w:w="1136"/>
        <w:gridCol w:w="1134"/>
      </w:tblGrid>
      <w:tr>
        <w:tblPrEx>
          <w:tblCellMar>
            <w:top w:w="0" w:type="dxa"/>
            <w:left w:w="108" w:type="dxa"/>
            <w:bottom w:w="0" w:type="dxa"/>
            <w:right w:w="108" w:type="dxa"/>
          </w:tblCellMar>
        </w:tblPrEx>
        <w:trPr>
          <w:trHeight w:val="458" w:hRule="atLeast"/>
          <w:jc w:val="center"/>
        </w:trPr>
        <w:tc>
          <w:tcPr>
            <w:tcW w:w="1883"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项       目</w:t>
            </w:r>
          </w:p>
        </w:tc>
        <w:tc>
          <w:tcPr>
            <w:tcW w:w="523" w:type="pct"/>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本年收入合计</w:t>
            </w:r>
          </w:p>
        </w:tc>
        <w:tc>
          <w:tcPr>
            <w:tcW w:w="446" w:type="pct"/>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财政拨款收入</w:t>
            </w:r>
          </w:p>
        </w:tc>
        <w:tc>
          <w:tcPr>
            <w:tcW w:w="460" w:type="pct"/>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上级补助收入</w:t>
            </w:r>
          </w:p>
        </w:tc>
        <w:tc>
          <w:tcPr>
            <w:tcW w:w="409" w:type="pct"/>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rPr>
                <w:rFonts w:ascii="仿宋_GB2312" w:hAnsi="宋体" w:eastAsia="仿宋_GB2312" w:cs="宋体"/>
                <w:kern w:val="0"/>
                <w:sz w:val="22"/>
                <w:szCs w:val="22"/>
              </w:rPr>
            </w:pPr>
            <w:r>
              <w:rPr>
                <w:rFonts w:hint="eastAsia" w:ascii="仿宋_GB2312" w:hAnsi="宋体" w:eastAsia="仿宋_GB2312" w:cs="宋体"/>
                <w:kern w:val="0"/>
                <w:sz w:val="22"/>
                <w:szCs w:val="22"/>
              </w:rPr>
              <w:t>事业收入</w:t>
            </w:r>
          </w:p>
        </w:tc>
        <w:tc>
          <w:tcPr>
            <w:tcW w:w="460" w:type="pct"/>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经营收入</w:t>
            </w:r>
          </w:p>
        </w:tc>
        <w:tc>
          <w:tcPr>
            <w:tcW w:w="410" w:type="pct"/>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ind w:left="648" w:hanging="648" w:hangingChars="30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xml:space="preserve">附属单位    </w:t>
            </w:r>
          </w:p>
          <w:p>
            <w:pPr>
              <w:widowControl/>
              <w:spacing w:line="300" w:lineRule="exact"/>
              <w:ind w:left="648" w:hanging="648" w:hangingChars="300"/>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上缴收入</w:t>
            </w:r>
          </w:p>
        </w:tc>
        <w:tc>
          <w:tcPr>
            <w:tcW w:w="409" w:type="pct"/>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其他收入</w:t>
            </w:r>
          </w:p>
        </w:tc>
      </w:tr>
      <w:tr>
        <w:tblPrEx>
          <w:tblCellMar>
            <w:top w:w="0" w:type="dxa"/>
            <w:left w:w="108" w:type="dxa"/>
            <w:bottom w:w="0" w:type="dxa"/>
            <w:right w:w="108" w:type="dxa"/>
          </w:tblCellMar>
        </w:tblPrEx>
        <w:trPr>
          <w:trHeight w:val="457" w:hRule="atLeast"/>
          <w:jc w:val="center"/>
        </w:trPr>
        <w:tc>
          <w:tcPr>
            <w:tcW w:w="724"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功能分类科目编码</w:t>
            </w:r>
          </w:p>
        </w:tc>
        <w:tc>
          <w:tcPr>
            <w:tcW w:w="1159"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科目名称</w:t>
            </w:r>
          </w:p>
        </w:tc>
        <w:tc>
          <w:tcPr>
            <w:tcW w:w="523" w:type="pct"/>
            <w:vMerge w:val="continue"/>
            <w:tcBorders>
              <w:left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p>
        </w:tc>
        <w:tc>
          <w:tcPr>
            <w:tcW w:w="446" w:type="pct"/>
            <w:vMerge w:val="continue"/>
            <w:tcBorders>
              <w:left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p>
        </w:tc>
        <w:tc>
          <w:tcPr>
            <w:tcW w:w="460" w:type="pct"/>
            <w:vMerge w:val="continue"/>
            <w:tcBorders>
              <w:left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p>
        </w:tc>
        <w:tc>
          <w:tcPr>
            <w:tcW w:w="409" w:type="pct"/>
            <w:vMerge w:val="continue"/>
            <w:tcBorders>
              <w:left w:val="single" w:color="auto" w:sz="4" w:space="0"/>
              <w:right w:val="single" w:color="auto" w:sz="4" w:space="0"/>
            </w:tcBorders>
            <w:shd w:val="clear" w:color="auto" w:fill="auto"/>
            <w:vAlign w:val="center"/>
          </w:tcPr>
          <w:p>
            <w:pPr>
              <w:widowControl/>
              <w:spacing w:line="300" w:lineRule="exact"/>
              <w:ind w:firstLine="216" w:firstLineChars="100"/>
              <w:rPr>
                <w:rFonts w:ascii="仿宋_GB2312" w:hAnsi="宋体" w:eastAsia="仿宋_GB2312" w:cs="宋体"/>
                <w:kern w:val="0"/>
                <w:sz w:val="22"/>
                <w:szCs w:val="22"/>
              </w:rPr>
            </w:pPr>
          </w:p>
        </w:tc>
        <w:tc>
          <w:tcPr>
            <w:tcW w:w="460" w:type="pct"/>
            <w:vMerge w:val="continue"/>
            <w:tcBorders>
              <w:left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p>
        </w:tc>
        <w:tc>
          <w:tcPr>
            <w:tcW w:w="410" w:type="pct"/>
            <w:vMerge w:val="continue"/>
            <w:tcBorders>
              <w:left w:val="single" w:color="auto" w:sz="4" w:space="0"/>
              <w:right w:val="single" w:color="auto" w:sz="4" w:space="0"/>
            </w:tcBorders>
            <w:shd w:val="clear" w:color="auto" w:fill="auto"/>
            <w:vAlign w:val="center"/>
          </w:tcPr>
          <w:p>
            <w:pPr>
              <w:widowControl/>
              <w:spacing w:line="300" w:lineRule="exact"/>
              <w:ind w:left="648" w:hanging="648" w:hangingChars="300"/>
              <w:jc w:val="center"/>
              <w:rPr>
                <w:rFonts w:ascii="仿宋_GB2312" w:hAnsi="宋体" w:eastAsia="仿宋_GB2312" w:cs="宋体"/>
                <w:kern w:val="0"/>
                <w:sz w:val="22"/>
                <w:szCs w:val="22"/>
              </w:rPr>
            </w:pPr>
          </w:p>
        </w:tc>
        <w:tc>
          <w:tcPr>
            <w:tcW w:w="409" w:type="pct"/>
            <w:vMerge w:val="continue"/>
            <w:tcBorders>
              <w:left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397" w:hRule="atLeast"/>
          <w:jc w:val="center"/>
        </w:trPr>
        <w:tc>
          <w:tcPr>
            <w:tcW w:w="1883"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栏 次</w:t>
            </w:r>
          </w:p>
        </w:tc>
        <w:tc>
          <w:tcPr>
            <w:tcW w:w="523"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w:t>
            </w:r>
          </w:p>
        </w:tc>
        <w:tc>
          <w:tcPr>
            <w:tcW w:w="446"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w:t>
            </w:r>
          </w:p>
        </w:tc>
        <w:tc>
          <w:tcPr>
            <w:tcW w:w="460"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3</w:t>
            </w:r>
          </w:p>
        </w:tc>
        <w:tc>
          <w:tcPr>
            <w:tcW w:w="409"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4</w:t>
            </w:r>
          </w:p>
        </w:tc>
        <w:tc>
          <w:tcPr>
            <w:tcW w:w="460"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5</w:t>
            </w:r>
          </w:p>
        </w:tc>
        <w:tc>
          <w:tcPr>
            <w:tcW w:w="410"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6</w:t>
            </w:r>
          </w:p>
        </w:tc>
        <w:tc>
          <w:tcPr>
            <w:tcW w:w="409" w:type="pc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7</w:t>
            </w:r>
          </w:p>
        </w:tc>
      </w:tr>
      <w:tr>
        <w:tblPrEx>
          <w:tblCellMar>
            <w:top w:w="0" w:type="dxa"/>
            <w:left w:w="108" w:type="dxa"/>
            <w:bottom w:w="0" w:type="dxa"/>
            <w:right w:w="108" w:type="dxa"/>
          </w:tblCellMar>
        </w:tblPrEx>
        <w:trPr>
          <w:trHeight w:val="456" w:hRule="atLeast"/>
          <w:jc w:val="center"/>
        </w:trPr>
        <w:tc>
          <w:tcPr>
            <w:tcW w:w="1883" w:type="pct"/>
            <w:gridSpan w:val="3"/>
            <w:tcBorders>
              <w:top w:val="single" w:color="auto" w:sz="4" w:space="0"/>
              <w:left w:val="single" w:color="auto" w:sz="4" w:space="0"/>
              <w:bottom w:val="single" w:color="auto" w:sz="4" w:space="0"/>
              <w:right w:val="single" w:color="auto" w:sz="4" w:space="0"/>
            </w:tcBorders>
            <w:shd w:val="clear" w:color="auto" w:fill="FFFFFF"/>
            <w:vAlign w:val="center"/>
          </w:tcPr>
          <w:p>
            <w:pPr>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合 计</w:t>
            </w:r>
          </w:p>
        </w:tc>
        <w:tc>
          <w:tcPr>
            <w:tcW w:w="523"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right"/>
              <w:rPr>
                <w:rFonts w:ascii="宋体" w:hAnsi="宋体" w:cs="Arial"/>
                <w:b/>
                <w:bCs/>
                <w:kern w:val="0"/>
                <w:sz w:val="20"/>
                <w:szCs w:val="20"/>
              </w:rPr>
            </w:pPr>
            <w:r>
              <w:rPr>
                <w:rFonts w:hint="eastAsia" w:ascii="宋体" w:hAnsi="宋体" w:cs="Arial"/>
                <w:b/>
                <w:bCs/>
                <w:kern w:val="0"/>
                <w:sz w:val="20"/>
                <w:szCs w:val="20"/>
              </w:rPr>
              <w:t>12,312.53</w:t>
            </w:r>
          </w:p>
        </w:tc>
        <w:tc>
          <w:tcPr>
            <w:tcW w:w="446"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right"/>
              <w:rPr>
                <w:rFonts w:ascii="宋体" w:hAnsi="宋体" w:cs="Arial"/>
                <w:b/>
                <w:bCs/>
                <w:kern w:val="0"/>
                <w:sz w:val="20"/>
                <w:szCs w:val="20"/>
              </w:rPr>
            </w:pPr>
            <w:r>
              <w:rPr>
                <w:rFonts w:hint="eastAsia" w:ascii="宋体" w:hAnsi="宋体" w:cs="Arial"/>
                <w:b/>
                <w:bCs/>
                <w:kern w:val="0"/>
                <w:sz w:val="20"/>
                <w:szCs w:val="20"/>
              </w:rPr>
              <w:t>11,676.85</w:t>
            </w:r>
          </w:p>
        </w:tc>
        <w:tc>
          <w:tcPr>
            <w:tcW w:w="46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c>
          <w:tcPr>
            <w:tcW w:w="409"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right"/>
              <w:rPr>
                <w:rFonts w:ascii="宋体" w:hAnsi="宋体" w:cs="Arial"/>
                <w:b/>
                <w:bCs/>
                <w:kern w:val="0"/>
                <w:sz w:val="20"/>
                <w:szCs w:val="20"/>
              </w:rPr>
            </w:pPr>
            <w:r>
              <w:rPr>
                <w:rFonts w:hint="eastAsia" w:ascii="宋体" w:hAnsi="宋体" w:cs="Arial"/>
                <w:b/>
                <w:bCs/>
                <w:kern w:val="0"/>
                <w:sz w:val="20"/>
                <w:szCs w:val="20"/>
              </w:rPr>
              <w:t>458.36</w:t>
            </w:r>
          </w:p>
        </w:tc>
        <w:tc>
          <w:tcPr>
            <w:tcW w:w="46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c>
          <w:tcPr>
            <w:tcW w:w="410"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right"/>
              <w:rPr>
                <w:rFonts w:ascii="宋体" w:hAnsi="宋体" w:cs="Arial"/>
                <w:b/>
                <w:bCs/>
                <w:kern w:val="0"/>
                <w:sz w:val="20"/>
                <w:szCs w:val="20"/>
              </w:rPr>
            </w:pPr>
            <w:r>
              <w:rPr>
                <w:rFonts w:hint="eastAsia" w:ascii="宋体" w:hAnsi="宋体" w:cs="Arial"/>
                <w:b/>
                <w:bCs/>
                <w:kern w:val="0"/>
                <w:sz w:val="20"/>
                <w:szCs w:val="20"/>
              </w:rPr>
              <w:t>　</w:t>
            </w:r>
          </w:p>
        </w:tc>
        <w:tc>
          <w:tcPr>
            <w:tcW w:w="409"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right"/>
              <w:rPr>
                <w:rFonts w:ascii="宋体" w:hAnsi="宋体" w:cs="Arial"/>
                <w:b/>
                <w:bCs/>
                <w:kern w:val="0"/>
                <w:sz w:val="20"/>
                <w:szCs w:val="20"/>
              </w:rPr>
            </w:pPr>
            <w:r>
              <w:rPr>
                <w:rFonts w:hint="eastAsia" w:ascii="宋体" w:hAnsi="宋体" w:cs="Arial"/>
                <w:b/>
                <w:bCs/>
                <w:kern w:val="0"/>
                <w:sz w:val="20"/>
                <w:szCs w:val="20"/>
              </w:rPr>
              <w:t>177.31</w:t>
            </w:r>
          </w:p>
        </w:tc>
      </w:tr>
      <w:tr>
        <w:tblPrEx>
          <w:tblCellMar>
            <w:top w:w="0" w:type="dxa"/>
            <w:left w:w="108" w:type="dxa"/>
            <w:bottom w:w="0" w:type="dxa"/>
            <w:right w:w="108" w:type="dxa"/>
          </w:tblCellMar>
        </w:tblPrEx>
        <w:trPr>
          <w:trHeight w:val="284" w:hRule="atLeast"/>
          <w:jc w:val="center"/>
        </w:trPr>
        <w:tc>
          <w:tcPr>
            <w:tcW w:w="653" w:type="pc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200" w:lineRule="exact"/>
              <w:jc w:val="left"/>
              <w:rPr>
                <w:rFonts w:ascii="宋体" w:hAnsi="宋体" w:cs="Arial"/>
                <w:b/>
                <w:bCs/>
                <w:kern w:val="0"/>
                <w:sz w:val="15"/>
                <w:szCs w:val="15"/>
              </w:rPr>
            </w:pPr>
            <w:r>
              <w:rPr>
                <w:rFonts w:hint="eastAsia" w:ascii="宋体" w:hAnsi="宋体" w:cs="Arial"/>
                <w:b/>
                <w:bCs/>
                <w:kern w:val="0"/>
                <w:sz w:val="15"/>
                <w:szCs w:val="15"/>
              </w:rPr>
              <w:t>201</w:t>
            </w:r>
          </w:p>
        </w:tc>
        <w:tc>
          <w:tcPr>
            <w:tcW w:w="1230" w:type="pct"/>
            <w:gridSpan w:val="2"/>
            <w:tcBorders>
              <w:top w:val="single" w:color="auto" w:sz="4" w:space="0"/>
              <w:left w:val="single" w:color="auto" w:sz="4" w:space="0"/>
              <w:bottom w:val="single" w:color="auto" w:sz="4" w:space="0"/>
              <w:right w:val="single" w:color="auto" w:sz="4" w:space="0"/>
            </w:tcBorders>
            <w:vAlign w:val="center"/>
          </w:tcPr>
          <w:p>
            <w:pPr>
              <w:spacing w:line="200" w:lineRule="exact"/>
              <w:rPr>
                <w:rFonts w:ascii="宋体" w:hAnsi="宋体" w:cs="Arial"/>
                <w:b/>
                <w:bCs/>
                <w:sz w:val="15"/>
                <w:szCs w:val="15"/>
              </w:rPr>
            </w:pPr>
            <w:r>
              <w:rPr>
                <w:rFonts w:hint="eastAsia" w:cs="Arial"/>
                <w:b/>
                <w:bCs/>
                <w:sz w:val="15"/>
                <w:szCs w:val="15"/>
              </w:rPr>
              <w:t>一般公共服务支出</w:t>
            </w:r>
          </w:p>
        </w:tc>
        <w:tc>
          <w:tcPr>
            <w:tcW w:w="523" w:type="pct"/>
            <w:tcBorders>
              <w:top w:val="single" w:color="auto" w:sz="4" w:space="0"/>
              <w:left w:val="single" w:color="auto" w:sz="4" w:space="0"/>
              <w:bottom w:val="single" w:color="auto" w:sz="4" w:space="0"/>
              <w:right w:val="single" w:color="auto" w:sz="4" w:space="0"/>
            </w:tcBorders>
            <w:vAlign w:val="center"/>
          </w:tcPr>
          <w:p>
            <w:pPr>
              <w:spacing w:line="200" w:lineRule="exact"/>
              <w:jc w:val="right"/>
              <w:rPr>
                <w:rFonts w:ascii="宋体" w:hAnsi="宋体" w:cs="Arial"/>
                <w:b/>
                <w:bCs/>
                <w:sz w:val="15"/>
                <w:szCs w:val="15"/>
              </w:rPr>
            </w:pPr>
            <w:r>
              <w:rPr>
                <w:rFonts w:hint="eastAsia" w:cs="Arial"/>
                <w:b/>
                <w:bCs/>
                <w:sz w:val="15"/>
                <w:szCs w:val="15"/>
              </w:rPr>
              <w:t>3,601.82</w:t>
            </w:r>
          </w:p>
        </w:tc>
        <w:tc>
          <w:tcPr>
            <w:tcW w:w="446" w:type="pct"/>
            <w:tcBorders>
              <w:top w:val="single" w:color="auto" w:sz="4" w:space="0"/>
              <w:left w:val="single" w:color="auto" w:sz="4" w:space="0"/>
              <w:bottom w:val="single" w:color="auto" w:sz="4" w:space="0"/>
              <w:right w:val="single" w:color="auto" w:sz="4" w:space="0"/>
            </w:tcBorders>
            <w:vAlign w:val="center"/>
          </w:tcPr>
          <w:p>
            <w:pPr>
              <w:spacing w:line="200" w:lineRule="exact"/>
              <w:jc w:val="right"/>
              <w:rPr>
                <w:rFonts w:ascii="宋体" w:hAnsi="宋体" w:cs="Arial"/>
                <w:b/>
                <w:bCs/>
                <w:sz w:val="15"/>
                <w:szCs w:val="15"/>
              </w:rPr>
            </w:pPr>
            <w:r>
              <w:rPr>
                <w:rFonts w:hint="eastAsia" w:cs="Arial"/>
                <w:b/>
                <w:bCs/>
                <w:sz w:val="15"/>
                <w:szCs w:val="15"/>
              </w:rPr>
              <w:t>3,601.82</w:t>
            </w:r>
          </w:p>
        </w:tc>
        <w:tc>
          <w:tcPr>
            <w:tcW w:w="460" w:type="pct"/>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仿宋_GB2312" w:hAnsi="宋体" w:eastAsia="仿宋_GB2312" w:cs="宋体"/>
                <w:kern w:val="0"/>
                <w:sz w:val="15"/>
                <w:szCs w:val="15"/>
              </w:rPr>
            </w:pPr>
          </w:p>
        </w:tc>
        <w:tc>
          <w:tcPr>
            <w:tcW w:w="409" w:type="pct"/>
            <w:tcBorders>
              <w:top w:val="single" w:color="auto" w:sz="4" w:space="0"/>
              <w:left w:val="single" w:color="auto" w:sz="4" w:space="0"/>
              <w:bottom w:val="single" w:color="auto" w:sz="4" w:space="0"/>
              <w:right w:val="single" w:color="auto" w:sz="4" w:space="0"/>
            </w:tcBorders>
            <w:vAlign w:val="center"/>
          </w:tcPr>
          <w:p>
            <w:pPr>
              <w:spacing w:line="200" w:lineRule="exact"/>
              <w:jc w:val="right"/>
              <w:rPr>
                <w:rFonts w:ascii="宋体" w:hAnsi="宋体" w:cs="Arial"/>
                <w:b/>
                <w:bCs/>
                <w:sz w:val="15"/>
                <w:szCs w:val="15"/>
              </w:rPr>
            </w:pPr>
            <w:r>
              <w:rPr>
                <w:rFonts w:hint="eastAsia" w:cs="Arial"/>
                <w:b/>
                <w:bCs/>
                <w:sz w:val="15"/>
                <w:szCs w:val="15"/>
              </w:rPr>
              <w:t>　</w:t>
            </w:r>
          </w:p>
        </w:tc>
        <w:tc>
          <w:tcPr>
            <w:tcW w:w="460" w:type="pct"/>
            <w:tcBorders>
              <w:top w:val="single" w:color="auto" w:sz="4" w:space="0"/>
              <w:left w:val="single" w:color="auto" w:sz="4" w:space="0"/>
              <w:bottom w:val="single" w:color="auto" w:sz="4" w:space="0"/>
              <w:right w:val="single" w:color="auto" w:sz="4" w:space="0"/>
            </w:tcBorders>
            <w:vAlign w:val="center"/>
          </w:tcPr>
          <w:p>
            <w:pPr>
              <w:spacing w:line="200" w:lineRule="exact"/>
              <w:jc w:val="right"/>
              <w:rPr>
                <w:rFonts w:ascii="宋体" w:hAnsi="宋体" w:cs="Arial"/>
                <w:b/>
                <w:bCs/>
                <w:sz w:val="15"/>
                <w:szCs w:val="15"/>
              </w:rPr>
            </w:pPr>
            <w:r>
              <w:rPr>
                <w:rFonts w:hint="eastAsia" w:cs="Arial"/>
                <w:b/>
                <w:bCs/>
                <w:sz w:val="15"/>
                <w:szCs w:val="15"/>
              </w:rPr>
              <w:t>　</w:t>
            </w:r>
          </w:p>
        </w:tc>
        <w:tc>
          <w:tcPr>
            <w:tcW w:w="410" w:type="pct"/>
            <w:tcBorders>
              <w:top w:val="single" w:color="auto" w:sz="4" w:space="0"/>
              <w:left w:val="single" w:color="auto" w:sz="4" w:space="0"/>
              <w:bottom w:val="single" w:color="auto" w:sz="4" w:space="0"/>
              <w:right w:val="single" w:color="auto" w:sz="4" w:space="0"/>
            </w:tcBorders>
            <w:vAlign w:val="center"/>
          </w:tcPr>
          <w:p>
            <w:pPr>
              <w:spacing w:line="200" w:lineRule="exact"/>
              <w:jc w:val="right"/>
              <w:rPr>
                <w:rFonts w:ascii="宋体" w:hAnsi="宋体" w:cs="Arial"/>
                <w:b/>
                <w:bCs/>
                <w:sz w:val="15"/>
                <w:szCs w:val="15"/>
              </w:rPr>
            </w:pPr>
            <w:r>
              <w:rPr>
                <w:rFonts w:hint="eastAsia" w:cs="Arial"/>
                <w:b/>
                <w:bCs/>
                <w:sz w:val="15"/>
                <w:szCs w:val="15"/>
              </w:rPr>
              <w:t>　</w:t>
            </w:r>
          </w:p>
        </w:tc>
        <w:tc>
          <w:tcPr>
            <w:tcW w:w="409" w:type="pct"/>
            <w:tcBorders>
              <w:top w:val="single" w:color="auto" w:sz="4" w:space="0"/>
              <w:left w:val="single" w:color="auto" w:sz="4" w:space="0"/>
              <w:bottom w:val="single" w:color="auto" w:sz="4" w:space="0"/>
              <w:right w:val="single" w:color="auto" w:sz="4" w:space="0"/>
            </w:tcBorders>
            <w:vAlign w:val="center"/>
          </w:tcPr>
          <w:p>
            <w:pPr>
              <w:spacing w:line="200" w:lineRule="exact"/>
              <w:jc w:val="right"/>
              <w:rPr>
                <w:rFonts w:ascii="宋体" w:hAnsi="宋体" w:cs="Arial"/>
                <w:b/>
                <w:bCs/>
                <w:sz w:val="15"/>
                <w:szCs w:val="15"/>
              </w:rPr>
            </w:pPr>
            <w:r>
              <w:rPr>
                <w:rFonts w:hint="eastAsia" w:cs="Arial"/>
                <w:b/>
                <w:bCs/>
                <w:sz w:val="15"/>
                <w:szCs w:val="15"/>
              </w:rPr>
              <w:t>　</w:t>
            </w:r>
          </w:p>
        </w:tc>
      </w:tr>
      <w:tr>
        <w:tblPrEx>
          <w:tblCellMar>
            <w:top w:w="0" w:type="dxa"/>
            <w:left w:w="108" w:type="dxa"/>
            <w:bottom w:w="0" w:type="dxa"/>
            <w:right w:w="108" w:type="dxa"/>
          </w:tblCellMar>
        </w:tblPrEx>
        <w:trPr>
          <w:trHeight w:val="284" w:hRule="atLeast"/>
          <w:jc w:val="center"/>
        </w:trPr>
        <w:tc>
          <w:tcPr>
            <w:tcW w:w="653" w:type="pc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cs="Arial"/>
                <w:b/>
                <w:bCs/>
                <w:kern w:val="0"/>
                <w:sz w:val="15"/>
                <w:szCs w:val="15"/>
              </w:rPr>
            </w:pPr>
            <w:r>
              <w:rPr>
                <w:rFonts w:hint="eastAsia" w:ascii="宋体" w:hAnsi="宋体" w:cs="Arial"/>
                <w:b/>
                <w:bCs/>
                <w:kern w:val="0"/>
                <w:sz w:val="15"/>
                <w:szCs w:val="15"/>
              </w:rPr>
              <w:t>20199</w:t>
            </w:r>
          </w:p>
        </w:tc>
        <w:tc>
          <w:tcPr>
            <w:tcW w:w="1230" w:type="pct"/>
            <w:gridSpan w:val="2"/>
            <w:tcBorders>
              <w:top w:val="nil"/>
              <w:left w:val="nil"/>
              <w:bottom w:val="single" w:color="auto" w:sz="4" w:space="0"/>
              <w:right w:val="single" w:color="auto" w:sz="4" w:space="0"/>
            </w:tcBorders>
            <w:shd w:val="clear" w:color="auto" w:fill="FFFFFF"/>
            <w:vAlign w:val="center"/>
          </w:tcPr>
          <w:p>
            <w:pPr>
              <w:spacing w:line="200" w:lineRule="exact"/>
              <w:rPr>
                <w:rFonts w:ascii="宋体" w:hAnsi="宋体" w:cs="Arial"/>
                <w:b/>
                <w:bCs/>
                <w:sz w:val="15"/>
                <w:szCs w:val="15"/>
              </w:rPr>
            </w:pPr>
            <w:r>
              <w:rPr>
                <w:rFonts w:hint="eastAsia" w:cs="Arial"/>
                <w:b/>
                <w:bCs/>
                <w:sz w:val="15"/>
                <w:szCs w:val="15"/>
              </w:rPr>
              <w:t>其他一般公共服务支出</w:t>
            </w:r>
          </w:p>
        </w:tc>
        <w:tc>
          <w:tcPr>
            <w:tcW w:w="523" w:type="pct"/>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3,601.82</w:t>
            </w:r>
          </w:p>
        </w:tc>
        <w:tc>
          <w:tcPr>
            <w:tcW w:w="446" w:type="pct"/>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3,601.82</w:t>
            </w:r>
          </w:p>
        </w:tc>
        <w:tc>
          <w:tcPr>
            <w:tcW w:w="460" w:type="pct"/>
            <w:tcBorders>
              <w:top w:val="nil"/>
              <w:left w:val="nil"/>
              <w:bottom w:val="single" w:color="auto" w:sz="4" w:space="0"/>
              <w:right w:val="single" w:color="auto" w:sz="4" w:space="0"/>
            </w:tcBorders>
            <w:shd w:val="clear" w:color="auto" w:fill="auto"/>
            <w:vAlign w:val="center"/>
          </w:tcPr>
          <w:p>
            <w:pPr>
              <w:widowControl/>
              <w:spacing w:line="200" w:lineRule="exact"/>
              <w:jc w:val="center"/>
              <w:rPr>
                <w:rFonts w:ascii="仿宋_GB2312" w:hAnsi="宋体" w:eastAsia="仿宋_GB2312" w:cs="宋体"/>
                <w:kern w:val="0"/>
                <w:sz w:val="15"/>
                <w:szCs w:val="15"/>
              </w:rPr>
            </w:pPr>
          </w:p>
        </w:tc>
        <w:tc>
          <w:tcPr>
            <w:tcW w:w="409" w:type="pct"/>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　</w:t>
            </w:r>
          </w:p>
        </w:tc>
        <w:tc>
          <w:tcPr>
            <w:tcW w:w="460" w:type="pct"/>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　</w:t>
            </w:r>
          </w:p>
        </w:tc>
        <w:tc>
          <w:tcPr>
            <w:tcW w:w="410" w:type="pct"/>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　</w:t>
            </w:r>
          </w:p>
        </w:tc>
        <w:tc>
          <w:tcPr>
            <w:tcW w:w="409" w:type="pct"/>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　</w:t>
            </w:r>
          </w:p>
        </w:tc>
      </w:tr>
      <w:tr>
        <w:tblPrEx>
          <w:tblCellMar>
            <w:top w:w="0" w:type="dxa"/>
            <w:left w:w="108" w:type="dxa"/>
            <w:bottom w:w="0" w:type="dxa"/>
            <w:right w:w="108" w:type="dxa"/>
          </w:tblCellMar>
        </w:tblPrEx>
        <w:trPr>
          <w:trHeight w:val="284" w:hRule="atLeast"/>
          <w:jc w:val="center"/>
        </w:trPr>
        <w:tc>
          <w:tcPr>
            <w:tcW w:w="653" w:type="pc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cs="Arial"/>
                <w:kern w:val="0"/>
                <w:sz w:val="15"/>
                <w:szCs w:val="15"/>
              </w:rPr>
            </w:pPr>
            <w:r>
              <w:rPr>
                <w:rFonts w:hint="eastAsia" w:ascii="宋体" w:hAnsi="宋体" w:cs="Arial"/>
                <w:kern w:val="0"/>
                <w:sz w:val="15"/>
                <w:szCs w:val="15"/>
              </w:rPr>
              <w:t>2019999</w:t>
            </w:r>
          </w:p>
        </w:tc>
        <w:tc>
          <w:tcPr>
            <w:tcW w:w="1230" w:type="pct"/>
            <w:gridSpan w:val="2"/>
            <w:tcBorders>
              <w:top w:val="nil"/>
              <w:left w:val="nil"/>
              <w:bottom w:val="single" w:color="auto" w:sz="4" w:space="0"/>
              <w:right w:val="single" w:color="auto" w:sz="4" w:space="0"/>
            </w:tcBorders>
            <w:shd w:val="clear" w:color="auto" w:fill="auto"/>
            <w:vAlign w:val="center"/>
          </w:tcPr>
          <w:p>
            <w:pPr>
              <w:spacing w:line="200" w:lineRule="exact"/>
              <w:rPr>
                <w:rFonts w:ascii="宋体" w:hAnsi="宋体" w:cs="Arial"/>
                <w:sz w:val="15"/>
                <w:szCs w:val="15"/>
              </w:rPr>
            </w:pPr>
            <w:r>
              <w:rPr>
                <w:rFonts w:hint="eastAsia" w:cs="Arial"/>
                <w:sz w:val="15"/>
                <w:szCs w:val="15"/>
              </w:rPr>
              <w:t xml:space="preserve">  其他一般公共服务支出</w:t>
            </w:r>
          </w:p>
        </w:tc>
        <w:tc>
          <w:tcPr>
            <w:tcW w:w="523" w:type="pct"/>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Arial"/>
                <w:sz w:val="15"/>
                <w:szCs w:val="15"/>
              </w:rPr>
            </w:pPr>
            <w:r>
              <w:rPr>
                <w:rFonts w:hint="eastAsia" w:cs="Arial"/>
                <w:sz w:val="15"/>
                <w:szCs w:val="15"/>
              </w:rPr>
              <w:t>3,601.82</w:t>
            </w:r>
          </w:p>
        </w:tc>
        <w:tc>
          <w:tcPr>
            <w:tcW w:w="446" w:type="pct"/>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Arial"/>
                <w:sz w:val="15"/>
                <w:szCs w:val="15"/>
              </w:rPr>
            </w:pPr>
            <w:r>
              <w:rPr>
                <w:rFonts w:hint="eastAsia" w:cs="Arial"/>
                <w:sz w:val="15"/>
                <w:szCs w:val="15"/>
              </w:rPr>
              <w:t>3,601.82</w:t>
            </w:r>
          </w:p>
        </w:tc>
        <w:tc>
          <w:tcPr>
            <w:tcW w:w="460" w:type="pct"/>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409" w:type="pct"/>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Arial"/>
                <w:sz w:val="15"/>
                <w:szCs w:val="15"/>
              </w:rPr>
            </w:pPr>
            <w:r>
              <w:rPr>
                <w:rFonts w:hint="eastAsia" w:cs="Arial"/>
                <w:sz w:val="15"/>
                <w:szCs w:val="15"/>
              </w:rPr>
              <w:t>　</w:t>
            </w:r>
          </w:p>
        </w:tc>
        <w:tc>
          <w:tcPr>
            <w:tcW w:w="460" w:type="pct"/>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Arial"/>
                <w:sz w:val="15"/>
                <w:szCs w:val="15"/>
              </w:rPr>
            </w:pPr>
            <w:r>
              <w:rPr>
                <w:rFonts w:hint="eastAsia" w:cs="Arial"/>
                <w:sz w:val="15"/>
                <w:szCs w:val="15"/>
              </w:rPr>
              <w:t>　</w:t>
            </w:r>
          </w:p>
        </w:tc>
        <w:tc>
          <w:tcPr>
            <w:tcW w:w="410" w:type="pct"/>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Arial"/>
                <w:sz w:val="15"/>
                <w:szCs w:val="15"/>
              </w:rPr>
            </w:pPr>
            <w:r>
              <w:rPr>
                <w:rFonts w:hint="eastAsia" w:cs="Arial"/>
                <w:sz w:val="15"/>
                <w:szCs w:val="15"/>
              </w:rPr>
              <w:t>　</w:t>
            </w:r>
          </w:p>
        </w:tc>
        <w:tc>
          <w:tcPr>
            <w:tcW w:w="409" w:type="pct"/>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Arial"/>
                <w:sz w:val="15"/>
                <w:szCs w:val="15"/>
              </w:rPr>
            </w:pPr>
            <w:r>
              <w:rPr>
                <w:rFonts w:hint="eastAsia" w:cs="Arial"/>
                <w:sz w:val="15"/>
                <w:szCs w:val="15"/>
              </w:rPr>
              <w:t>　</w:t>
            </w:r>
          </w:p>
        </w:tc>
      </w:tr>
      <w:tr>
        <w:tblPrEx>
          <w:tblCellMar>
            <w:top w:w="0" w:type="dxa"/>
            <w:left w:w="108" w:type="dxa"/>
            <w:bottom w:w="0" w:type="dxa"/>
            <w:right w:w="108" w:type="dxa"/>
          </w:tblCellMar>
        </w:tblPrEx>
        <w:trPr>
          <w:trHeight w:val="284" w:hRule="atLeast"/>
          <w:jc w:val="center"/>
        </w:trPr>
        <w:tc>
          <w:tcPr>
            <w:tcW w:w="653" w:type="pc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cs="Arial"/>
                <w:b/>
                <w:bCs/>
                <w:kern w:val="0"/>
                <w:sz w:val="15"/>
                <w:szCs w:val="15"/>
              </w:rPr>
            </w:pPr>
            <w:r>
              <w:rPr>
                <w:rFonts w:hint="eastAsia" w:ascii="宋体" w:hAnsi="宋体" w:cs="Arial"/>
                <w:b/>
                <w:bCs/>
                <w:kern w:val="0"/>
                <w:sz w:val="15"/>
                <w:szCs w:val="15"/>
              </w:rPr>
              <w:t>205</w:t>
            </w:r>
          </w:p>
        </w:tc>
        <w:tc>
          <w:tcPr>
            <w:tcW w:w="1230" w:type="pct"/>
            <w:gridSpan w:val="2"/>
            <w:tcBorders>
              <w:top w:val="nil"/>
              <w:left w:val="nil"/>
              <w:bottom w:val="single" w:color="auto" w:sz="4" w:space="0"/>
              <w:right w:val="single" w:color="auto" w:sz="4" w:space="0"/>
            </w:tcBorders>
            <w:shd w:val="clear" w:color="auto" w:fill="auto"/>
            <w:vAlign w:val="center"/>
          </w:tcPr>
          <w:p>
            <w:pPr>
              <w:spacing w:line="200" w:lineRule="exact"/>
              <w:rPr>
                <w:rFonts w:ascii="宋体" w:hAnsi="宋体" w:cs="Arial"/>
                <w:b/>
                <w:bCs/>
                <w:sz w:val="15"/>
                <w:szCs w:val="15"/>
              </w:rPr>
            </w:pPr>
            <w:r>
              <w:rPr>
                <w:rFonts w:hint="eastAsia" w:cs="Arial"/>
                <w:b/>
                <w:bCs/>
                <w:sz w:val="15"/>
                <w:szCs w:val="15"/>
              </w:rPr>
              <w:t>教育支出</w:t>
            </w:r>
          </w:p>
        </w:tc>
        <w:tc>
          <w:tcPr>
            <w:tcW w:w="523" w:type="pct"/>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8,103.69</w:t>
            </w:r>
          </w:p>
        </w:tc>
        <w:tc>
          <w:tcPr>
            <w:tcW w:w="446" w:type="pct"/>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7,468.02</w:t>
            </w:r>
          </w:p>
        </w:tc>
        <w:tc>
          <w:tcPr>
            <w:tcW w:w="460" w:type="pct"/>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409" w:type="pct"/>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458.36</w:t>
            </w:r>
          </w:p>
        </w:tc>
        <w:tc>
          <w:tcPr>
            <w:tcW w:w="460" w:type="pct"/>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　</w:t>
            </w:r>
          </w:p>
        </w:tc>
        <w:tc>
          <w:tcPr>
            <w:tcW w:w="410" w:type="pct"/>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　</w:t>
            </w:r>
          </w:p>
        </w:tc>
        <w:tc>
          <w:tcPr>
            <w:tcW w:w="409" w:type="pct"/>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177.31</w:t>
            </w:r>
          </w:p>
        </w:tc>
      </w:tr>
      <w:tr>
        <w:tblPrEx>
          <w:tblCellMar>
            <w:top w:w="0" w:type="dxa"/>
            <w:left w:w="108" w:type="dxa"/>
            <w:bottom w:w="0" w:type="dxa"/>
            <w:right w:w="108" w:type="dxa"/>
          </w:tblCellMar>
        </w:tblPrEx>
        <w:trPr>
          <w:trHeight w:val="284" w:hRule="atLeast"/>
          <w:jc w:val="center"/>
        </w:trPr>
        <w:tc>
          <w:tcPr>
            <w:tcW w:w="653" w:type="pc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cs="Arial"/>
                <w:b/>
                <w:bCs/>
                <w:kern w:val="0"/>
                <w:sz w:val="15"/>
                <w:szCs w:val="15"/>
              </w:rPr>
            </w:pPr>
            <w:r>
              <w:rPr>
                <w:rFonts w:hint="eastAsia" w:ascii="宋体" w:hAnsi="宋体" w:cs="Arial"/>
                <w:b/>
                <w:bCs/>
                <w:kern w:val="0"/>
                <w:sz w:val="15"/>
                <w:szCs w:val="15"/>
              </w:rPr>
              <w:t>20508</w:t>
            </w:r>
          </w:p>
        </w:tc>
        <w:tc>
          <w:tcPr>
            <w:tcW w:w="1230" w:type="pct"/>
            <w:gridSpan w:val="2"/>
            <w:tcBorders>
              <w:top w:val="nil"/>
              <w:left w:val="nil"/>
              <w:bottom w:val="single" w:color="auto" w:sz="4" w:space="0"/>
              <w:right w:val="single" w:color="auto" w:sz="4" w:space="0"/>
            </w:tcBorders>
            <w:shd w:val="clear" w:color="auto" w:fill="auto"/>
            <w:vAlign w:val="center"/>
          </w:tcPr>
          <w:p>
            <w:pPr>
              <w:spacing w:line="200" w:lineRule="exact"/>
              <w:rPr>
                <w:rFonts w:ascii="宋体" w:hAnsi="宋体" w:cs="Arial"/>
                <w:b/>
                <w:bCs/>
                <w:sz w:val="15"/>
                <w:szCs w:val="15"/>
              </w:rPr>
            </w:pPr>
            <w:r>
              <w:rPr>
                <w:rFonts w:hint="eastAsia" w:cs="Arial"/>
                <w:b/>
                <w:bCs/>
                <w:sz w:val="15"/>
                <w:szCs w:val="15"/>
              </w:rPr>
              <w:t>进修及培训</w:t>
            </w:r>
          </w:p>
        </w:tc>
        <w:tc>
          <w:tcPr>
            <w:tcW w:w="523" w:type="pct"/>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8,103.69</w:t>
            </w:r>
          </w:p>
        </w:tc>
        <w:tc>
          <w:tcPr>
            <w:tcW w:w="446" w:type="pct"/>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7,468.02</w:t>
            </w:r>
          </w:p>
        </w:tc>
        <w:tc>
          <w:tcPr>
            <w:tcW w:w="460" w:type="pct"/>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409" w:type="pct"/>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458.36</w:t>
            </w:r>
          </w:p>
        </w:tc>
        <w:tc>
          <w:tcPr>
            <w:tcW w:w="460" w:type="pct"/>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　</w:t>
            </w:r>
          </w:p>
        </w:tc>
        <w:tc>
          <w:tcPr>
            <w:tcW w:w="410" w:type="pct"/>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　</w:t>
            </w:r>
          </w:p>
        </w:tc>
        <w:tc>
          <w:tcPr>
            <w:tcW w:w="409" w:type="pct"/>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177.31</w:t>
            </w:r>
          </w:p>
        </w:tc>
      </w:tr>
      <w:tr>
        <w:tblPrEx>
          <w:tblCellMar>
            <w:top w:w="0" w:type="dxa"/>
            <w:left w:w="108" w:type="dxa"/>
            <w:bottom w:w="0" w:type="dxa"/>
            <w:right w:w="108" w:type="dxa"/>
          </w:tblCellMar>
        </w:tblPrEx>
        <w:trPr>
          <w:trHeight w:val="284" w:hRule="atLeast"/>
          <w:jc w:val="center"/>
        </w:trPr>
        <w:tc>
          <w:tcPr>
            <w:tcW w:w="653" w:type="pc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cs="Arial"/>
                <w:kern w:val="0"/>
                <w:sz w:val="15"/>
                <w:szCs w:val="15"/>
              </w:rPr>
            </w:pPr>
            <w:r>
              <w:rPr>
                <w:rFonts w:hint="eastAsia" w:ascii="宋体" w:hAnsi="宋体" w:cs="Arial"/>
                <w:kern w:val="0"/>
                <w:sz w:val="15"/>
                <w:szCs w:val="15"/>
              </w:rPr>
              <w:t>2050802</w:t>
            </w:r>
          </w:p>
        </w:tc>
        <w:tc>
          <w:tcPr>
            <w:tcW w:w="1230" w:type="pct"/>
            <w:gridSpan w:val="2"/>
            <w:tcBorders>
              <w:top w:val="nil"/>
              <w:left w:val="nil"/>
              <w:bottom w:val="single" w:color="auto" w:sz="4" w:space="0"/>
              <w:right w:val="single" w:color="auto" w:sz="4" w:space="0"/>
            </w:tcBorders>
            <w:shd w:val="clear" w:color="auto" w:fill="auto"/>
            <w:vAlign w:val="center"/>
          </w:tcPr>
          <w:p>
            <w:pPr>
              <w:spacing w:line="200" w:lineRule="exact"/>
              <w:rPr>
                <w:rFonts w:ascii="宋体" w:hAnsi="宋体" w:cs="Arial"/>
                <w:sz w:val="15"/>
                <w:szCs w:val="15"/>
              </w:rPr>
            </w:pPr>
            <w:r>
              <w:rPr>
                <w:rFonts w:hint="eastAsia" w:cs="Arial"/>
                <w:sz w:val="15"/>
                <w:szCs w:val="15"/>
              </w:rPr>
              <w:t xml:space="preserve">  干部教育</w:t>
            </w:r>
          </w:p>
        </w:tc>
        <w:tc>
          <w:tcPr>
            <w:tcW w:w="523" w:type="pct"/>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Arial"/>
                <w:sz w:val="15"/>
                <w:szCs w:val="15"/>
              </w:rPr>
            </w:pPr>
            <w:r>
              <w:rPr>
                <w:rFonts w:hint="eastAsia" w:cs="Arial"/>
                <w:sz w:val="15"/>
                <w:szCs w:val="15"/>
              </w:rPr>
              <w:t>8,103.69</w:t>
            </w:r>
          </w:p>
        </w:tc>
        <w:tc>
          <w:tcPr>
            <w:tcW w:w="446" w:type="pct"/>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Arial"/>
                <w:sz w:val="15"/>
                <w:szCs w:val="15"/>
              </w:rPr>
            </w:pPr>
            <w:r>
              <w:rPr>
                <w:rFonts w:hint="eastAsia" w:cs="Arial"/>
                <w:sz w:val="15"/>
                <w:szCs w:val="15"/>
              </w:rPr>
              <w:t>7,468.02</w:t>
            </w:r>
          </w:p>
        </w:tc>
        <w:tc>
          <w:tcPr>
            <w:tcW w:w="460" w:type="pct"/>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409" w:type="pct"/>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Arial"/>
                <w:sz w:val="15"/>
                <w:szCs w:val="15"/>
              </w:rPr>
            </w:pPr>
            <w:r>
              <w:rPr>
                <w:rFonts w:hint="eastAsia" w:cs="Arial"/>
                <w:sz w:val="15"/>
                <w:szCs w:val="15"/>
              </w:rPr>
              <w:t>458.36</w:t>
            </w:r>
          </w:p>
        </w:tc>
        <w:tc>
          <w:tcPr>
            <w:tcW w:w="460" w:type="pct"/>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Arial"/>
                <w:sz w:val="15"/>
                <w:szCs w:val="15"/>
              </w:rPr>
            </w:pPr>
            <w:r>
              <w:rPr>
                <w:rFonts w:hint="eastAsia" w:cs="Arial"/>
                <w:sz w:val="15"/>
                <w:szCs w:val="15"/>
              </w:rPr>
              <w:t>　</w:t>
            </w:r>
          </w:p>
        </w:tc>
        <w:tc>
          <w:tcPr>
            <w:tcW w:w="410" w:type="pct"/>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Arial"/>
                <w:sz w:val="15"/>
                <w:szCs w:val="15"/>
              </w:rPr>
            </w:pPr>
            <w:r>
              <w:rPr>
                <w:rFonts w:hint="eastAsia" w:cs="Arial"/>
                <w:sz w:val="15"/>
                <w:szCs w:val="15"/>
              </w:rPr>
              <w:t>　</w:t>
            </w:r>
          </w:p>
        </w:tc>
        <w:tc>
          <w:tcPr>
            <w:tcW w:w="409" w:type="pct"/>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Arial"/>
                <w:sz w:val="15"/>
                <w:szCs w:val="15"/>
              </w:rPr>
            </w:pPr>
            <w:r>
              <w:rPr>
                <w:rFonts w:hint="eastAsia" w:cs="Arial"/>
                <w:sz w:val="15"/>
                <w:szCs w:val="15"/>
              </w:rPr>
              <w:t>177.31</w:t>
            </w:r>
          </w:p>
        </w:tc>
      </w:tr>
      <w:tr>
        <w:tblPrEx>
          <w:tblCellMar>
            <w:top w:w="0" w:type="dxa"/>
            <w:left w:w="108" w:type="dxa"/>
            <w:bottom w:w="0" w:type="dxa"/>
            <w:right w:w="108" w:type="dxa"/>
          </w:tblCellMar>
        </w:tblPrEx>
        <w:trPr>
          <w:trHeight w:val="284" w:hRule="atLeast"/>
          <w:jc w:val="center"/>
        </w:trPr>
        <w:tc>
          <w:tcPr>
            <w:tcW w:w="653" w:type="pc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cs="Arial"/>
                <w:b/>
                <w:bCs/>
                <w:kern w:val="0"/>
                <w:sz w:val="15"/>
                <w:szCs w:val="15"/>
              </w:rPr>
            </w:pPr>
            <w:r>
              <w:rPr>
                <w:rFonts w:hint="eastAsia" w:ascii="宋体" w:hAnsi="宋体" w:cs="Arial"/>
                <w:b/>
                <w:bCs/>
                <w:kern w:val="0"/>
                <w:sz w:val="15"/>
                <w:szCs w:val="15"/>
              </w:rPr>
              <w:t>206</w:t>
            </w:r>
          </w:p>
        </w:tc>
        <w:tc>
          <w:tcPr>
            <w:tcW w:w="1230" w:type="pct"/>
            <w:gridSpan w:val="2"/>
            <w:tcBorders>
              <w:top w:val="nil"/>
              <w:left w:val="nil"/>
              <w:bottom w:val="single" w:color="auto" w:sz="4" w:space="0"/>
              <w:right w:val="single" w:color="auto" w:sz="4" w:space="0"/>
            </w:tcBorders>
            <w:shd w:val="clear" w:color="auto" w:fill="auto"/>
            <w:vAlign w:val="center"/>
          </w:tcPr>
          <w:p>
            <w:pPr>
              <w:spacing w:line="200" w:lineRule="exact"/>
              <w:rPr>
                <w:rFonts w:ascii="宋体" w:hAnsi="宋体" w:cs="Arial"/>
                <w:b/>
                <w:bCs/>
                <w:sz w:val="15"/>
                <w:szCs w:val="15"/>
              </w:rPr>
            </w:pPr>
            <w:r>
              <w:rPr>
                <w:rFonts w:hint="eastAsia" w:cs="Arial"/>
                <w:b/>
                <w:bCs/>
                <w:sz w:val="15"/>
                <w:szCs w:val="15"/>
              </w:rPr>
              <w:t>科学技术支出</w:t>
            </w:r>
          </w:p>
        </w:tc>
        <w:tc>
          <w:tcPr>
            <w:tcW w:w="523" w:type="pct"/>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2.66</w:t>
            </w:r>
          </w:p>
        </w:tc>
        <w:tc>
          <w:tcPr>
            <w:tcW w:w="446" w:type="pct"/>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2.66</w:t>
            </w:r>
          </w:p>
        </w:tc>
        <w:tc>
          <w:tcPr>
            <w:tcW w:w="460" w:type="pct"/>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409" w:type="pct"/>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460" w:type="pct"/>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410" w:type="pct"/>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409" w:type="pct"/>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r>
      <w:tr>
        <w:tblPrEx>
          <w:tblCellMar>
            <w:top w:w="0" w:type="dxa"/>
            <w:left w:w="108" w:type="dxa"/>
            <w:bottom w:w="0" w:type="dxa"/>
            <w:right w:w="108" w:type="dxa"/>
          </w:tblCellMar>
        </w:tblPrEx>
        <w:trPr>
          <w:trHeight w:val="284" w:hRule="atLeast"/>
          <w:jc w:val="center"/>
        </w:trPr>
        <w:tc>
          <w:tcPr>
            <w:tcW w:w="653" w:type="pc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cs="Arial"/>
                <w:b/>
                <w:bCs/>
                <w:kern w:val="0"/>
                <w:sz w:val="15"/>
                <w:szCs w:val="15"/>
              </w:rPr>
            </w:pPr>
            <w:r>
              <w:rPr>
                <w:rFonts w:hint="eastAsia" w:ascii="宋体" w:hAnsi="宋体" w:cs="Arial"/>
                <w:b/>
                <w:bCs/>
                <w:kern w:val="0"/>
                <w:sz w:val="15"/>
                <w:szCs w:val="15"/>
              </w:rPr>
              <w:t>20604</w:t>
            </w:r>
          </w:p>
        </w:tc>
        <w:tc>
          <w:tcPr>
            <w:tcW w:w="1230" w:type="pct"/>
            <w:gridSpan w:val="2"/>
            <w:tcBorders>
              <w:top w:val="nil"/>
              <w:left w:val="nil"/>
              <w:bottom w:val="single" w:color="auto" w:sz="4" w:space="0"/>
              <w:right w:val="single" w:color="auto" w:sz="4" w:space="0"/>
            </w:tcBorders>
            <w:shd w:val="clear" w:color="auto" w:fill="auto"/>
            <w:vAlign w:val="center"/>
          </w:tcPr>
          <w:p>
            <w:pPr>
              <w:spacing w:line="200" w:lineRule="exact"/>
              <w:rPr>
                <w:rFonts w:ascii="宋体" w:hAnsi="宋体" w:cs="Arial"/>
                <w:b/>
                <w:bCs/>
                <w:sz w:val="15"/>
                <w:szCs w:val="15"/>
              </w:rPr>
            </w:pPr>
            <w:r>
              <w:rPr>
                <w:rFonts w:hint="eastAsia" w:cs="Arial"/>
                <w:b/>
                <w:bCs/>
                <w:sz w:val="15"/>
                <w:szCs w:val="15"/>
              </w:rPr>
              <w:t>技术研究与开发</w:t>
            </w:r>
          </w:p>
        </w:tc>
        <w:tc>
          <w:tcPr>
            <w:tcW w:w="523" w:type="pct"/>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2.66</w:t>
            </w:r>
          </w:p>
        </w:tc>
        <w:tc>
          <w:tcPr>
            <w:tcW w:w="446" w:type="pct"/>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2.66</w:t>
            </w:r>
          </w:p>
        </w:tc>
        <w:tc>
          <w:tcPr>
            <w:tcW w:w="460" w:type="pct"/>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409" w:type="pct"/>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460" w:type="pct"/>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410" w:type="pct"/>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409" w:type="pct"/>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r>
      <w:tr>
        <w:tblPrEx>
          <w:tblCellMar>
            <w:top w:w="0" w:type="dxa"/>
            <w:left w:w="108" w:type="dxa"/>
            <w:bottom w:w="0" w:type="dxa"/>
            <w:right w:w="108" w:type="dxa"/>
          </w:tblCellMar>
        </w:tblPrEx>
        <w:trPr>
          <w:trHeight w:val="284" w:hRule="atLeast"/>
          <w:jc w:val="center"/>
        </w:trPr>
        <w:tc>
          <w:tcPr>
            <w:tcW w:w="653" w:type="pc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cs="Arial"/>
                <w:kern w:val="0"/>
                <w:sz w:val="15"/>
                <w:szCs w:val="15"/>
              </w:rPr>
            </w:pPr>
            <w:r>
              <w:rPr>
                <w:rFonts w:hint="eastAsia" w:ascii="宋体" w:hAnsi="宋体" w:cs="Arial"/>
                <w:kern w:val="0"/>
                <w:sz w:val="15"/>
                <w:szCs w:val="15"/>
              </w:rPr>
              <w:t>2060402</w:t>
            </w:r>
          </w:p>
        </w:tc>
        <w:tc>
          <w:tcPr>
            <w:tcW w:w="1230" w:type="pct"/>
            <w:gridSpan w:val="2"/>
            <w:tcBorders>
              <w:top w:val="nil"/>
              <w:left w:val="nil"/>
              <w:bottom w:val="single" w:color="auto" w:sz="4" w:space="0"/>
              <w:right w:val="single" w:color="auto" w:sz="4" w:space="0"/>
            </w:tcBorders>
            <w:shd w:val="clear" w:color="auto" w:fill="auto"/>
            <w:vAlign w:val="center"/>
          </w:tcPr>
          <w:p>
            <w:pPr>
              <w:spacing w:line="200" w:lineRule="exact"/>
              <w:rPr>
                <w:rFonts w:ascii="宋体" w:hAnsi="宋体" w:cs="Arial"/>
                <w:sz w:val="15"/>
                <w:szCs w:val="15"/>
              </w:rPr>
            </w:pPr>
            <w:r>
              <w:rPr>
                <w:rFonts w:hint="eastAsia" w:cs="Arial"/>
                <w:sz w:val="15"/>
                <w:szCs w:val="15"/>
              </w:rPr>
              <w:t xml:space="preserve">  应用技术研究与开发</w:t>
            </w:r>
          </w:p>
        </w:tc>
        <w:tc>
          <w:tcPr>
            <w:tcW w:w="523" w:type="pct"/>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Arial"/>
                <w:sz w:val="15"/>
                <w:szCs w:val="15"/>
              </w:rPr>
            </w:pPr>
            <w:r>
              <w:rPr>
                <w:rFonts w:hint="eastAsia" w:cs="Arial"/>
                <w:sz w:val="15"/>
                <w:szCs w:val="15"/>
              </w:rPr>
              <w:t>2.66</w:t>
            </w:r>
          </w:p>
        </w:tc>
        <w:tc>
          <w:tcPr>
            <w:tcW w:w="446" w:type="pct"/>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Arial"/>
                <w:sz w:val="15"/>
                <w:szCs w:val="15"/>
              </w:rPr>
            </w:pPr>
            <w:r>
              <w:rPr>
                <w:rFonts w:hint="eastAsia" w:cs="Arial"/>
                <w:sz w:val="15"/>
                <w:szCs w:val="15"/>
              </w:rPr>
              <w:t>2.66</w:t>
            </w:r>
          </w:p>
        </w:tc>
        <w:tc>
          <w:tcPr>
            <w:tcW w:w="460" w:type="pct"/>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409" w:type="pct"/>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460" w:type="pct"/>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410" w:type="pct"/>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409" w:type="pct"/>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r>
      <w:tr>
        <w:tblPrEx>
          <w:tblCellMar>
            <w:top w:w="0" w:type="dxa"/>
            <w:left w:w="108" w:type="dxa"/>
            <w:bottom w:w="0" w:type="dxa"/>
            <w:right w:w="108" w:type="dxa"/>
          </w:tblCellMar>
        </w:tblPrEx>
        <w:trPr>
          <w:trHeight w:val="284" w:hRule="atLeast"/>
          <w:jc w:val="center"/>
        </w:trPr>
        <w:tc>
          <w:tcPr>
            <w:tcW w:w="653" w:type="pc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cs="Arial"/>
                <w:b/>
                <w:bCs/>
                <w:kern w:val="0"/>
                <w:sz w:val="15"/>
                <w:szCs w:val="15"/>
              </w:rPr>
            </w:pPr>
            <w:r>
              <w:rPr>
                <w:rFonts w:hint="eastAsia" w:ascii="宋体" w:hAnsi="宋体" w:cs="Arial"/>
                <w:b/>
                <w:bCs/>
                <w:kern w:val="0"/>
                <w:sz w:val="15"/>
                <w:szCs w:val="15"/>
              </w:rPr>
              <w:t>208</w:t>
            </w:r>
          </w:p>
        </w:tc>
        <w:tc>
          <w:tcPr>
            <w:tcW w:w="1230" w:type="pct"/>
            <w:gridSpan w:val="2"/>
            <w:tcBorders>
              <w:top w:val="nil"/>
              <w:left w:val="nil"/>
              <w:bottom w:val="single" w:color="auto" w:sz="4" w:space="0"/>
              <w:right w:val="single" w:color="auto" w:sz="4" w:space="0"/>
            </w:tcBorders>
            <w:shd w:val="clear" w:color="auto" w:fill="auto"/>
            <w:vAlign w:val="center"/>
          </w:tcPr>
          <w:p>
            <w:pPr>
              <w:spacing w:line="200" w:lineRule="exact"/>
              <w:rPr>
                <w:rFonts w:ascii="宋体" w:hAnsi="宋体" w:cs="Arial"/>
                <w:b/>
                <w:bCs/>
                <w:sz w:val="15"/>
                <w:szCs w:val="15"/>
              </w:rPr>
            </w:pPr>
            <w:r>
              <w:rPr>
                <w:rFonts w:hint="eastAsia" w:cs="Arial"/>
                <w:b/>
                <w:bCs/>
                <w:sz w:val="15"/>
                <w:szCs w:val="15"/>
              </w:rPr>
              <w:t>社会保障和就业支出</w:t>
            </w:r>
          </w:p>
        </w:tc>
        <w:tc>
          <w:tcPr>
            <w:tcW w:w="523" w:type="pct"/>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324.37</w:t>
            </w:r>
          </w:p>
        </w:tc>
        <w:tc>
          <w:tcPr>
            <w:tcW w:w="446" w:type="pct"/>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324.37</w:t>
            </w:r>
          </w:p>
        </w:tc>
        <w:tc>
          <w:tcPr>
            <w:tcW w:w="460" w:type="pct"/>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409" w:type="pct"/>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460" w:type="pct"/>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410" w:type="pct"/>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409" w:type="pct"/>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r>
      <w:tr>
        <w:tblPrEx>
          <w:tblCellMar>
            <w:top w:w="0" w:type="dxa"/>
            <w:left w:w="108" w:type="dxa"/>
            <w:bottom w:w="0" w:type="dxa"/>
            <w:right w:w="108" w:type="dxa"/>
          </w:tblCellMar>
        </w:tblPrEx>
        <w:trPr>
          <w:trHeight w:val="284" w:hRule="atLeast"/>
          <w:jc w:val="center"/>
        </w:trPr>
        <w:tc>
          <w:tcPr>
            <w:tcW w:w="653" w:type="pc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cs="Arial"/>
                <w:b/>
                <w:bCs/>
                <w:kern w:val="0"/>
                <w:sz w:val="15"/>
                <w:szCs w:val="15"/>
              </w:rPr>
            </w:pPr>
            <w:r>
              <w:rPr>
                <w:rFonts w:hint="eastAsia" w:ascii="宋体" w:hAnsi="宋体" w:cs="Arial"/>
                <w:b/>
                <w:bCs/>
                <w:kern w:val="0"/>
                <w:sz w:val="15"/>
                <w:szCs w:val="15"/>
              </w:rPr>
              <w:t>20805</w:t>
            </w:r>
          </w:p>
        </w:tc>
        <w:tc>
          <w:tcPr>
            <w:tcW w:w="1230" w:type="pct"/>
            <w:gridSpan w:val="2"/>
            <w:tcBorders>
              <w:top w:val="nil"/>
              <w:left w:val="nil"/>
              <w:bottom w:val="single" w:color="auto" w:sz="4" w:space="0"/>
              <w:right w:val="single" w:color="auto" w:sz="4" w:space="0"/>
            </w:tcBorders>
            <w:shd w:val="clear" w:color="auto" w:fill="auto"/>
            <w:vAlign w:val="center"/>
          </w:tcPr>
          <w:p>
            <w:pPr>
              <w:spacing w:line="200" w:lineRule="exact"/>
              <w:rPr>
                <w:rFonts w:ascii="宋体" w:hAnsi="宋体" w:cs="Arial"/>
                <w:b/>
                <w:bCs/>
                <w:sz w:val="15"/>
                <w:szCs w:val="15"/>
              </w:rPr>
            </w:pPr>
            <w:r>
              <w:rPr>
                <w:rFonts w:hint="eastAsia" w:cs="Arial"/>
                <w:b/>
                <w:bCs/>
                <w:sz w:val="15"/>
                <w:szCs w:val="15"/>
              </w:rPr>
              <w:t>行政事业单位离退休</w:t>
            </w:r>
          </w:p>
        </w:tc>
        <w:tc>
          <w:tcPr>
            <w:tcW w:w="523" w:type="pct"/>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324.37</w:t>
            </w:r>
          </w:p>
        </w:tc>
        <w:tc>
          <w:tcPr>
            <w:tcW w:w="446" w:type="pct"/>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324.37</w:t>
            </w:r>
          </w:p>
        </w:tc>
        <w:tc>
          <w:tcPr>
            <w:tcW w:w="460" w:type="pct"/>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p>
        </w:tc>
        <w:tc>
          <w:tcPr>
            <w:tcW w:w="409" w:type="pct"/>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p>
        </w:tc>
        <w:tc>
          <w:tcPr>
            <w:tcW w:w="460" w:type="pct"/>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p>
        </w:tc>
        <w:tc>
          <w:tcPr>
            <w:tcW w:w="410" w:type="pct"/>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p>
        </w:tc>
        <w:tc>
          <w:tcPr>
            <w:tcW w:w="409" w:type="pct"/>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p>
        </w:tc>
      </w:tr>
      <w:tr>
        <w:tblPrEx>
          <w:tblCellMar>
            <w:top w:w="0" w:type="dxa"/>
            <w:left w:w="108" w:type="dxa"/>
            <w:bottom w:w="0" w:type="dxa"/>
            <w:right w:w="108" w:type="dxa"/>
          </w:tblCellMar>
        </w:tblPrEx>
        <w:trPr>
          <w:trHeight w:val="284" w:hRule="atLeast"/>
          <w:jc w:val="center"/>
        </w:trPr>
        <w:tc>
          <w:tcPr>
            <w:tcW w:w="653" w:type="pc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cs="Arial"/>
                <w:kern w:val="0"/>
                <w:sz w:val="15"/>
                <w:szCs w:val="15"/>
              </w:rPr>
            </w:pPr>
            <w:r>
              <w:rPr>
                <w:rFonts w:hint="eastAsia" w:ascii="宋体" w:hAnsi="宋体" w:cs="Arial"/>
                <w:kern w:val="0"/>
                <w:sz w:val="15"/>
                <w:szCs w:val="15"/>
              </w:rPr>
              <w:t>2080505</w:t>
            </w:r>
          </w:p>
        </w:tc>
        <w:tc>
          <w:tcPr>
            <w:tcW w:w="1230" w:type="pct"/>
            <w:gridSpan w:val="2"/>
            <w:tcBorders>
              <w:top w:val="nil"/>
              <w:left w:val="nil"/>
              <w:bottom w:val="single" w:color="auto" w:sz="4" w:space="0"/>
              <w:right w:val="single" w:color="auto" w:sz="4" w:space="0"/>
            </w:tcBorders>
            <w:shd w:val="clear" w:color="auto" w:fill="auto"/>
            <w:vAlign w:val="center"/>
          </w:tcPr>
          <w:p>
            <w:pPr>
              <w:spacing w:line="200" w:lineRule="exact"/>
              <w:rPr>
                <w:rFonts w:ascii="宋体" w:hAnsi="宋体" w:cs="Arial"/>
                <w:sz w:val="15"/>
                <w:szCs w:val="15"/>
              </w:rPr>
            </w:pPr>
            <w:r>
              <w:rPr>
                <w:rFonts w:hint="eastAsia" w:cs="Arial"/>
                <w:sz w:val="15"/>
                <w:szCs w:val="15"/>
              </w:rPr>
              <w:t>机关事业单位基本养老保险缴费支出</w:t>
            </w:r>
          </w:p>
        </w:tc>
        <w:tc>
          <w:tcPr>
            <w:tcW w:w="523" w:type="pct"/>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Arial"/>
                <w:sz w:val="15"/>
                <w:szCs w:val="15"/>
              </w:rPr>
            </w:pPr>
            <w:r>
              <w:rPr>
                <w:rFonts w:hint="eastAsia" w:cs="Arial"/>
                <w:sz w:val="15"/>
                <w:szCs w:val="15"/>
              </w:rPr>
              <w:t>324.37</w:t>
            </w:r>
          </w:p>
        </w:tc>
        <w:tc>
          <w:tcPr>
            <w:tcW w:w="446" w:type="pct"/>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Arial"/>
                <w:sz w:val="15"/>
                <w:szCs w:val="15"/>
              </w:rPr>
            </w:pPr>
            <w:r>
              <w:rPr>
                <w:rFonts w:hint="eastAsia" w:cs="Arial"/>
                <w:sz w:val="15"/>
                <w:szCs w:val="15"/>
              </w:rPr>
              <w:t>324.37</w:t>
            </w:r>
          </w:p>
        </w:tc>
        <w:tc>
          <w:tcPr>
            <w:tcW w:w="460" w:type="pct"/>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p>
        </w:tc>
        <w:tc>
          <w:tcPr>
            <w:tcW w:w="409" w:type="pct"/>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p>
        </w:tc>
        <w:tc>
          <w:tcPr>
            <w:tcW w:w="460" w:type="pct"/>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p>
        </w:tc>
        <w:tc>
          <w:tcPr>
            <w:tcW w:w="410" w:type="pct"/>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p>
        </w:tc>
        <w:tc>
          <w:tcPr>
            <w:tcW w:w="409" w:type="pct"/>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p>
        </w:tc>
      </w:tr>
      <w:tr>
        <w:tblPrEx>
          <w:tblCellMar>
            <w:top w:w="0" w:type="dxa"/>
            <w:left w:w="108" w:type="dxa"/>
            <w:bottom w:w="0" w:type="dxa"/>
            <w:right w:w="108" w:type="dxa"/>
          </w:tblCellMar>
        </w:tblPrEx>
        <w:trPr>
          <w:trHeight w:val="284" w:hRule="atLeast"/>
          <w:jc w:val="center"/>
        </w:trPr>
        <w:tc>
          <w:tcPr>
            <w:tcW w:w="653" w:type="pc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cs="Arial"/>
                <w:b/>
                <w:bCs/>
                <w:kern w:val="0"/>
                <w:sz w:val="15"/>
                <w:szCs w:val="15"/>
              </w:rPr>
            </w:pPr>
            <w:r>
              <w:rPr>
                <w:rFonts w:hint="eastAsia" w:ascii="宋体" w:hAnsi="宋体" w:cs="Arial"/>
                <w:b/>
                <w:bCs/>
                <w:kern w:val="0"/>
                <w:sz w:val="15"/>
                <w:szCs w:val="15"/>
              </w:rPr>
              <w:t>221</w:t>
            </w:r>
          </w:p>
        </w:tc>
        <w:tc>
          <w:tcPr>
            <w:tcW w:w="1230" w:type="pct"/>
            <w:gridSpan w:val="2"/>
            <w:tcBorders>
              <w:top w:val="nil"/>
              <w:left w:val="nil"/>
              <w:bottom w:val="single" w:color="auto" w:sz="4" w:space="0"/>
              <w:right w:val="single" w:color="auto" w:sz="4" w:space="0"/>
            </w:tcBorders>
            <w:shd w:val="clear" w:color="auto" w:fill="auto"/>
            <w:vAlign w:val="center"/>
          </w:tcPr>
          <w:p>
            <w:pPr>
              <w:spacing w:line="200" w:lineRule="exact"/>
              <w:rPr>
                <w:rFonts w:ascii="宋体" w:hAnsi="宋体" w:cs="Arial"/>
                <w:b/>
                <w:bCs/>
                <w:sz w:val="15"/>
                <w:szCs w:val="15"/>
              </w:rPr>
            </w:pPr>
            <w:r>
              <w:rPr>
                <w:rFonts w:hint="eastAsia" w:cs="Arial"/>
                <w:b/>
                <w:bCs/>
                <w:sz w:val="15"/>
                <w:szCs w:val="15"/>
              </w:rPr>
              <w:t>住房保障支出</w:t>
            </w:r>
          </w:p>
        </w:tc>
        <w:tc>
          <w:tcPr>
            <w:tcW w:w="523" w:type="pct"/>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279.98</w:t>
            </w:r>
          </w:p>
        </w:tc>
        <w:tc>
          <w:tcPr>
            <w:tcW w:w="446" w:type="pct"/>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279.98</w:t>
            </w:r>
          </w:p>
        </w:tc>
        <w:tc>
          <w:tcPr>
            <w:tcW w:w="460" w:type="pct"/>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p>
        </w:tc>
        <w:tc>
          <w:tcPr>
            <w:tcW w:w="409" w:type="pct"/>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p>
        </w:tc>
        <w:tc>
          <w:tcPr>
            <w:tcW w:w="460" w:type="pct"/>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p>
        </w:tc>
        <w:tc>
          <w:tcPr>
            <w:tcW w:w="410" w:type="pct"/>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p>
        </w:tc>
        <w:tc>
          <w:tcPr>
            <w:tcW w:w="409" w:type="pct"/>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p>
        </w:tc>
      </w:tr>
      <w:tr>
        <w:tblPrEx>
          <w:tblCellMar>
            <w:top w:w="0" w:type="dxa"/>
            <w:left w:w="108" w:type="dxa"/>
            <w:bottom w:w="0" w:type="dxa"/>
            <w:right w:w="108" w:type="dxa"/>
          </w:tblCellMar>
        </w:tblPrEx>
        <w:trPr>
          <w:trHeight w:val="284" w:hRule="atLeast"/>
          <w:jc w:val="center"/>
        </w:trPr>
        <w:tc>
          <w:tcPr>
            <w:tcW w:w="653" w:type="pc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cs="Arial"/>
                <w:b/>
                <w:bCs/>
                <w:kern w:val="0"/>
                <w:sz w:val="15"/>
                <w:szCs w:val="15"/>
              </w:rPr>
            </w:pPr>
            <w:r>
              <w:rPr>
                <w:rFonts w:hint="eastAsia" w:ascii="宋体" w:hAnsi="宋体" w:cs="Arial"/>
                <w:b/>
                <w:bCs/>
                <w:kern w:val="0"/>
                <w:sz w:val="15"/>
                <w:szCs w:val="15"/>
              </w:rPr>
              <w:t>22102</w:t>
            </w:r>
          </w:p>
        </w:tc>
        <w:tc>
          <w:tcPr>
            <w:tcW w:w="1230" w:type="pct"/>
            <w:gridSpan w:val="2"/>
            <w:tcBorders>
              <w:top w:val="nil"/>
              <w:left w:val="nil"/>
              <w:bottom w:val="single" w:color="auto" w:sz="4" w:space="0"/>
              <w:right w:val="single" w:color="auto" w:sz="4" w:space="0"/>
            </w:tcBorders>
            <w:shd w:val="clear" w:color="auto" w:fill="auto"/>
            <w:vAlign w:val="center"/>
          </w:tcPr>
          <w:p>
            <w:pPr>
              <w:spacing w:line="200" w:lineRule="exact"/>
              <w:rPr>
                <w:rFonts w:ascii="宋体" w:hAnsi="宋体" w:cs="Arial"/>
                <w:b/>
                <w:bCs/>
                <w:sz w:val="15"/>
                <w:szCs w:val="15"/>
              </w:rPr>
            </w:pPr>
            <w:r>
              <w:rPr>
                <w:rFonts w:hint="eastAsia" w:cs="Arial"/>
                <w:b/>
                <w:bCs/>
                <w:sz w:val="15"/>
                <w:szCs w:val="15"/>
              </w:rPr>
              <w:t>住房改革支出</w:t>
            </w:r>
          </w:p>
        </w:tc>
        <w:tc>
          <w:tcPr>
            <w:tcW w:w="523" w:type="pct"/>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279.98</w:t>
            </w:r>
          </w:p>
        </w:tc>
        <w:tc>
          <w:tcPr>
            <w:tcW w:w="446" w:type="pct"/>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279.98</w:t>
            </w:r>
          </w:p>
        </w:tc>
        <w:tc>
          <w:tcPr>
            <w:tcW w:w="460" w:type="pct"/>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p>
        </w:tc>
        <w:tc>
          <w:tcPr>
            <w:tcW w:w="409" w:type="pct"/>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p>
        </w:tc>
        <w:tc>
          <w:tcPr>
            <w:tcW w:w="460" w:type="pct"/>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p>
        </w:tc>
        <w:tc>
          <w:tcPr>
            <w:tcW w:w="410" w:type="pct"/>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p>
        </w:tc>
        <w:tc>
          <w:tcPr>
            <w:tcW w:w="409" w:type="pct"/>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p>
        </w:tc>
      </w:tr>
      <w:tr>
        <w:tblPrEx>
          <w:tblCellMar>
            <w:top w:w="0" w:type="dxa"/>
            <w:left w:w="108" w:type="dxa"/>
            <w:bottom w:w="0" w:type="dxa"/>
            <w:right w:w="108" w:type="dxa"/>
          </w:tblCellMar>
        </w:tblPrEx>
        <w:trPr>
          <w:trHeight w:val="284" w:hRule="atLeast"/>
          <w:jc w:val="center"/>
        </w:trPr>
        <w:tc>
          <w:tcPr>
            <w:tcW w:w="653" w:type="pc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cs="Arial"/>
                <w:kern w:val="0"/>
                <w:sz w:val="15"/>
                <w:szCs w:val="15"/>
              </w:rPr>
            </w:pPr>
            <w:r>
              <w:rPr>
                <w:rFonts w:hint="eastAsia" w:ascii="宋体" w:hAnsi="宋体" w:cs="Arial"/>
                <w:kern w:val="0"/>
                <w:sz w:val="15"/>
                <w:szCs w:val="15"/>
              </w:rPr>
              <w:t>2210201</w:t>
            </w:r>
          </w:p>
        </w:tc>
        <w:tc>
          <w:tcPr>
            <w:tcW w:w="1230" w:type="pct"/>
            <w:gridSpan w:val="2"/>
            <w:tcBorders>
              <w:top w:val="nil"/>
              <w:left w:val="nil"/>
              <w:bottom w:val="single" w:color="auto" w:sz="4" w:space="0"/>
              <w:right w:val="single" w:color="auto" w:sz="4" w:space="0"/>
            </w:tcBorders>
            <w:shd w:val="clear" w:color="auto" w:fill="auto"/>
            <w:vAlign w:val="center"/>
          </w:tcPr>
          <w:p>
            <w:pPr>
              <w:spacing w:line="200" w:lineRule="exact"/>
              <w:rPr>
                <w:rFonts w:ascii="宋体" w:hAnsi="宋体" w:cs="Arial"/>
                <w:sz w:val="15"/>
                <w:szCs w:val="15"/>
              </w:rPr>
            </w:pPr>
            <w:r>
              <w:rPr>
                <w:rFonts w:hint="eastAsia" w:cs="Arial"/>
                <w:sz w:val="15"/>
                <w:szCs w:val="15"/>
              </w:rPr>
              <w:t xml:space="preserve">  住房公积金</w:t>
            </w:r>
          </w:p>
        </w:tc>
        <w:tc>
          <w:tcPr>
            <w:tcW w:w="523" w:type="pct"/>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Arial"/>
                <w:sz w:val="15"/>
                <w:szCs w:val="15"/>
              </w:rPr>
            </w:pPr>
            <w:r>
              <w:rPr>
                <w:rFonts w:hint="eastAsia" w:cs="Arial"/>
                <w:sz w:val="15"/>
                <w:szCs w:val="15"/>
              </w:rPr>
              <w:t>279.98</w:t>
            </w:r>
          </w:p>
        </w:tc>
        <w:tc>
          <w:tcPr>
            <w:tcW w:w="446" w:type="pct"/>
            <w:tcBorders>
              <w:top w:val="nil"/>
              <w:left w:val="nil"/>
              <w:bottom w:val="single" w:color="auto" w:sz="4" w:space="0"/>
              <w:right w:val="single" w:color="auto" w:sz="4" w:space="0"/>
            </w:tcBorders>
            <w:shd w:val="clear" w:color="auto" w:fill="auto"/>
            <w:vAlign w:val="center"/>
          </w:tcPr>
          <w:p>
            <w:pPr>
              <w:spacing w:line="200" w:lineRule="exact"/>
              <w:jc w:val="right"/>
              <w:rPr>
                <w:rFonts w:ascii="宋体" w:hAnsi="宋体" w:cs="Arial"/>
                <w:sz w:val="15"/>
                <w:szCs w:val="15"/>
              </w:rPr>
            </w:pPr>
            <w:r>
              <w:rPr>
                <w:rFonts w:hint="eastAsia" w:cs="Arial"/>
                <w:sz w:val="15"/>
                <w:szCs w:val="15"/>
              </w:rPr>
              <w:t>279.98</w:t>
            </w:r>
          </w:p>
        </w:tc>
        <w:tc>
          <w:tcPr>
            <w:tcW w:w="460" w:type="pct"/>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p>
        </w:tc>
        <w:tc>
          <w:tcPr>
            <w:tcW w:w="409" w:type="pct"/>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p>
        </w:tc>
        <w:tc>
          <w:tcPr>
            <w:tcW w:w="460" w:type="pct"/>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p>
        </w:tc>
        <w:tc>
          <w:tcPr>
            <w:tcW w:w="410" w:type="pct"/>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p>
        </w:tc>
        <w:tc>
          <w:tcPr>
            <w:tcW w:w="409" w:type="pct"/>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p>
        </w:tc>
      </w:tr>
    </w:tbl>
    <w:p>
      <w:pPr>
        <w:ind w:firstLine="108" w:firstLineChars="50"/>
        <w:rPr>
          <w:rFonts w:ascii="仿宋_GB2312" w:hAnsi="宋体" w:eastAsia="仿宋_GB2312"/>
          <w:sz w:val="22"/>
          <w:szCs w:val="22"/>
        </w:rPr>
      </w:pPr>
      <w:r>
        <w:rPr>
          <w:rFonts w:hint="eastAsia" w:ascii="仿宋_GB2312" w:hAnsi="宋体" w:eastAsia="仿宋_GB2312"/>
          <w:sz w:val="22"/>
          <w:szCs w:val="22"/>
        </w:rPr>
        <w:t>注：本表反映部门本年度取得的各项收入情况。</w:t>
      </w:r>
    </w:p>
    <w:p>
      <w:pPr>
        <w:jc w:val="center"/>
        <w:rPr>
          <w:rFonts w:ascii="方正小标宋简体" w:eastAsia="方正小标宋简体"/>
          <w:sz w:val="44"/>
          <w:szCs w:val="44"/>
        </w:rPr>
      </w:pPr>
      <w:r>
        <w:rPr>
          <w:rFonts w:hint="eastAsia" w:ascii="方正小标宋简体" w:eastAsia="方正小标宋简体"/>
          <w:sz w:val="44"/>
          <w:szCs w:val="44"/>
        </w:rPr>
        <w:t>支出决算表</w:t>
      </w:r>
    </w:p>
    <w:p>
      <w:pPr>
        <w:spacing w:line="400" w:lineRule="exact"/>
        <w:jc w:val="right"/>
        <w:rPr>
          <w:rFonts w:ascii="楷体_GB2312" w:eastAsia="楷体_GB2312"/>
          <w:sz w:val="28"/>
          <w:szCs w:val="28"/>
        </w:rPr>
      </w:pPr>
      <w:r>
        <w:rPr>
          <w:rFonts w:hint="eastAsia" w:ascii="楷体_GB2312" w:eastAsia="楷体_GB2312"/>
          <w:sz w:val="28"/>
          <w:szCs w:val="28"/>
        </w:rPr>
        <w:t xml:space="preserve">                                                                                   公开03表</w:t>
      </w:r>
    </w:p>
    <w:p>
      <w:pPr>
        <w:wordWrap w:val="0"/>
        <w:spacing w:line="400" w:lineRule="exact"/>
        <w:ind w:firstLine="138" w:firstLineChars="50"/>
        <w:jc w:val="right"/>
        <w:rPr>
          <w:rFonts w:ascii="楷体_GB2312" w:eastAsia="楷体_GB2312"/>
          <w:sz w:val="28"/>
          <w:szCs w:val="28"/>
        </w:rPr>
      </w:pPr>
      <w:r>
        <w:rPr>
          <w:rFonts w:hint="eastAsia" w:ascii="楷体_GB2312" w:eastAsia="楷体_GB2312"/>
          <w:sz w:val="28"/>
          <w:szCs w:val="28"/>
        </w:rPr>
        <w:t xml:space="preserve"> 部门：中共青岛市委党校                                                             单位：万元</w:t>
      </w:r>
    </w:p>
    <w:tbl>
      <w:tblPr>
        <w:tblStyle w:val="5"/>
        <w:tblW w:w="13378" w:type="dxa"/>
        <w:jc w:val="center"/>
        <w:tblLayout w:type="autofit"/>
        <w:tblCellMar>
          <w:top w:w="0" w:type="dxa"/>
          <w:left w:w="108" w:type="dxa"/>
          <w:bottom w:w="0" w:type="dxa"/>
          <w:right w:w="108" w:type="dxa"/>
        </w:tblCellMar>
      </w:tblPr>
      <w:tblGrid>
        <w:gridCol w:w="1344"/>
        <w:gridCol w:w="57"/>
        <w:gridCol w:w="4240"/>
        <w:gridCol w:w="1134"/>
        <w:gridCol w:w="1418"/>
        <w:gridCol w:w="1134"/>
        <w:gridCol w:w="1280"/>
        <w:gridCol w:w="1130"/>
        <w:gridCol w:w="1641"/>
      </w:tblGrid>
      <w:tr>
        <w:tblPrEx>
          <w:tblCellMar>
            <w:top w:w="0" w:type="dxa"/>
            <w:left w:w="108" w:type="dxa"/>
            <w:bottom w:w="0" w:type="dxa"/>
            <w:right w:w="108" w:type="dxa"/>
          </w:tblCellMar>
        </w:tblPrEx>
        <w:trPr>
          <w:trHeight w:val="458" w:hRule="atLeast"/>
          <w:jc w:val="center"/>
        </w:trPr>
        <w:tc>
          <w:tcPr>
            <w:tcW w:w="56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项       目</w:t>
            </w:r>
          </w:p>
        </w:tc>
        <w:tc>
          <w:tcPr>
            <w:tcW w:w="1134" w:type="dxa"/>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本年支出合计</w:t>
            </w:r>
          </w:p>
        </w:tc>
        <w:tc>
          <w:tcPr>
            <w:tcW w:w="1418" w:type="dxa"/>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基本支出</w:t>
            </w:r>
          </w:p>
        </w:tc>
        <w:tc>
          <w:tcPr>
            <w:tcW w:w="1134" w:type="dxa"/>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项目支出</w:t>
            </w:r>
          </w:p>
        </w:tc>
        <w:tc>
          <w:tcPr>
            <w:tcW w:w="1280" w:type="dxa"/>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上缴上级支出</w:t>
            </w:r>
          </w:p>
        </w:tc>
        <w:tc>
          <w:tcPr>
            <w:tcW w:w="1130" w:type="dxa"/>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xml:space="preserve">经营支出    </w:t>
            </w:r>
          </w:p>
        </w:tc>
        <w:tc>
          <w:tcPr>
            <w:tcW w:w="1641" w:type="dxa"/>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对附属单位</w:t>
            </w:r>
          </w:p>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补助支出</w:t>
            </w:r>
          </w:p>
        </w:tc>
      </w:tr>
      <w:tr>
        <w:tblPrEx>
          <w:tblCellMar>
            <w:top w:w="0" w:type="dxa"/>
            <w:left w:w="108" w:type="dxa"/>
            <w:bottom w:w="0" w:type="dxa"/>
            <w:right w:w="108" w:type="dxa"/>
          </w:tblCellMar>
        </w:tblPrEx>
        <w:trPr>
          <w:trHeight w:val="457" w:hRule="atLeast"/>
          <w:jc w:val="center"/>
        </w:trPr>
        <w:tc>
          <w:tcPr>
            <w:tcW w:w="140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功能分类 科目编码</w:t>
            </w:r>
          </w:p>
        </w:tc>
        <w:tc>
          <w:tcPr>
            <w:tcW w:w="42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科目名称</w:t>
            </w:r>
          </w:p>
        </w:tc>
        <w:tc>
          <w:tcPr>
            <w:tcW w:w="1134"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p>
        </w:tc>
        <w:tc>
          <w:tcPr>
            <w:tcW w:w="1418"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p>
        </w:tc>
        <w:tc>
          <w:tcPr>
            <w:tcW w:w="1134"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p>
        </w:tc>
        <w:tc>
          <w:tcPr>
            <w:tcW w:w="1280"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p>
        </w:tc>
        <w:tc>
          <w:tcPr>
            <w:tcW w:w="1130"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p>
        </w:tc>
        <w:tc>
          <w:tcPr>
            <w:tcW w:w="1641"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406" w:hRule="atLeast"/>
          <w:jc w:val="center"/>
        </w:trPr>
        <w:tc>
          <w:tcPr>
            <w:tcW w:w="56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栏  次</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3</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4</w:t>
            </w:r>
          </w:p>
        </w:tc>
        <w:tc>
          <w:tcPr>
            <w:tcW w:w="113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5</w:t>
            </w:r>
          </w:p>
        </w:tc>
        <w:tc>
          <w:tcPr>
            <w:tcW w:w="164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6</w:t>
            </w:r>
          </w:p>
        </w:tc>
      </w:tr>
      <w:tr>
        <w:tblPrEx>
          <w:tblCellMar>
            <w:top w:w="0" w:type="dxa"/>
            <w:left w:w="108" w:type="dxa"/>
            <w:bottom w:w="0" w:type="dxa"/>
            <w:right w:w="108" w:type="dxa"/>
          </w:tblCellMar>
        </w:tblPrEx>
        <w:trPr>
          <w:trHeight w:val="340" w:hRule="atLeast"/>
          <w:jc w:val="center"/>
        </w:trPr>
        <w:tc>
          <w:tcPr>
            <w:tcW w:w="564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合  计</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right"/>
              <w:rPr>
                <w:rFonts w:ascii="宋体" w:hAnsi="宋体" w:cs="Arial"/>
                <w:b/>
                <w:bCs/>
                <w:sz w:val="20"/>
                <w:szCs w:val="20"/>
              </w:rPr>
            </w:pPr>
            <w:r>
              <w:rPr>
                <w:rFonts w:hint="eastAsia" w:cs="Arial"/>
                <w:b/>
                <w:bCs/>
                <w:sz w:val="20"/>
                <w:szCs w:val="20"/>
              </w:rPr>
              <w:t>12,339.61</w:t>
            </w:r>
          </w:p>
        </w:tc>
        <w:tc>
          <w:tcPr>
            <w:tcW w:w="1418"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right"/>
              <w:rPr>
                <w:rFonts w:ascii="宋体" w:hAnsi="宋体" w:cs="Arial"/>
                <w:b/>
                <w:bCs/>
                <w:sz w:val="20"/>
                <w:szCs w:val="20"/>
              </w:rPr>
            </w:pPr>
            <w:r>
              <w:rPr>
                <w:rFonts w:hint="eastAsia" w:cs="Arial"/>
                <w:b/>
                <w:bCs/>
                <w:sz w:val="20"/>
                <w:szCs w:val="20"/>
              </w:rPr>
              <w:t>6,561.86</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240" w:lineRule="exact"/>
              <w:jc w:val="right"/>
              <w:rPr>
                <w:rFonts w:ascii="宋体" w:hAnsi="宋体" w:cs="Arial"/>
                <w:b/>
                <w:bCs/>
                <w:sz w:val="20"/>
                <w:szCs w:val="20"/>
              </w:rPr>
            </w:pPr>
            <w:r>
              <w:rPr>
                <w:rFonts w:hint="eastAsia" w:cs="Arial"/>
                <w:b/>
                <w:bCs/>
                <w:sz w:val="20"/>
                <w:szCs w:val="20"/>
              </w:rPr>
              <w:t>5,777.76</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p>
        </w:tc>
        <w:tc>
          <w:tcPr>
            <w:tcW w:w="1130"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p>
        </w:tc>
        <w:tc>
          <w:tcPr>
            <w:tcW w:w="1641"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284" w:hRule="atLeast"/>
          <w:jc w:val="center"/>
        </w:trPr>
        <w:tc>
          <w:tcPr>
            <w:tcW w:w="1344" w:type="dxa"/>
            <w:tcBorders>
              <w:top w:val="single" w:color="auto" w:sz="4" w:space="0"/>
              <w:left w:val="single" w:color="auto" w:sz="4" w:space="0"/>
              <w:bottom w:val="single" w:color="auto" w:sz="4" w:space="0"/>
              <w:right w:val="nil"/>
            </w:tcBorders>
            <w:shd w:val="clear" w:color="auto" w:fill="auto"/>
            <w:vAlign w:val="center"/>
          </w:tcPr>
          <w:p>
            <w:pPr>
              <w:widowControl/>
              <w:spacing w:line="200" w:lineRule="exact"/>
              <w:jc w:val="left"/>
              <w:rPr>
                <w:rFonts w:ascii="宋体" w:hAnsi="宋体" w:cs="Arial"/>
                <w:b/>
                <w:bCs/>
                <w:kern w:val="0"/>
                <w:sz w:val="15"/>
                <w:szCs w:val="15"/>
              </w:rPr>
            </w:pPr>
            <w:r>
              <w:rPr>
                <w:rFonts w:hint="eastAsia" w:ascii="宋体" w:hAnsi="宋体" w:cs="Arial"/>
                <w:b/>
                <w:bCs/>
                <w:kern w:val="0"/>
                <w:sz w:val="15"/>
                <w:szCs w:val="15"/>
              </w:rPr>
              <w:t>201</w:t>
            </w:r>
          </w:p>
        </w:tc>
        <w:tc>
          <w:tcPr>
            <w:tcW w:w="42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rPr>
                <w:rFonts w:ascii="宋体" w:hAnsi="宋体" w:cs="Arial"/>
                <w:b/>
                <w:bCs/>
                <w:sz w:val="15"/>
                <w:szCs w:val="15"/>
              </w:rPr>
            </w:pPr>
            <w:r>
              <w:rPr>
                <w:rFonts w:hint="eastAsia" w:cs="Arial"/>
                <w:b/>
                <w:bCs/>
                <w:sz w:val="15"/>
                <w:szCs w:val="15"/>
              </w:rPr>
              <w:t>一般公共服务支出</w:t>
            </w:r>
          </w:p>
        </w:tc>
        <w:tc>
          <w:tcPr>
            <w:tcW w:w="1134" w:type="dxa"/>
            <w:tcBorders>
              <w:top w:val="single" w:color="auto" w:sz="4" w:space="0"/>
              <w:left w:val="nil"/>
              <w:bottom w:val="single" w:color="auto" w:sz="4" w:space="0"/>
              <w:right w:val="nil"/>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3,601.82</w:t>
            </w:r>
          </w:p>
        </w:tc>
        <w:tc>
          <w:tcPr>
            <w:tcW w:w="1418" w:type="dxa"/>
            <w:tcBorders>
              <w:top w:val="single" w:color="auto" w:sz="4" w:space="0"/>
              <w:left w:val="single" w:color="auto" w:sz="4" w:space="0"/>
              <w:bottom w:val="single" w:color="auto" w:sz="4" w:space="0"/>
              <w:right w:val="nil"/>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3,601.82</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130"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641" w:type="dxa"/>
            <w:tcBorders>
              <w:top w:val="single" w:color="auto" w:sz="4" w:space="0"/>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284" w:hRule="atLeast"/>
          <w:jc w:val="center"/>
        </w:trPr>
        <w:tc>
          <w:tcPr>
            <w:tcW w:w="1344" w:type="dxa"/>
            <w:tcBorders>
              <w:top w:val="nil"/>
              <w:left w:val="single" w:color="auto" w:sz="4" w:space="0"/>
              <w:bottom w:val="single" w:color="auto" w:sz="4" w:space="0"/>
              <w:right w:val="nil"/>
            </w:tcBorders>
            <w:shd w:val="clear" w:color="auto" w:fill="auto"/>
            <w:vAlign w:val="center"/>
          </w:tcPr>
          <w:p>
            <w:pPr>
              <w:widowControl/>
              <w:spacing w:line="200" w:lineRule="exact"/>
              <w:jc w:val="left"/>
              <w:rPr>
                <w:rFonts w:ascii="宋体" w:hAnsi="宋体" w:cs="Arial"/>
                <w:b/>
                <w:bCs/>
                <w:kern w:val="0"/>
                <w:sz w:val="15"/>
                <w:szCs w:val="15"/>
              </w:rPr>
            </w:pPr>
            <w:r>
              <w:rPr>
                <w:rFonts w:hint="eastAsia" w:ascii="宋体" w:hAnsi="宋体" w:cs="Arial"/>
                <w:b/>
                <w:bCs/>
                <w:kern w:val="0"/>
                <w:sz w:val="15"/>
                <w:szCs w:val="15"/>
              </w:rPr>
              <w:t>20199</w:t>
            </w:r>
          </w:p>
        </w:tc>
        <w:tc>
          <w:tcPr>
            <w:tcW w:w="4297" w:type="dxa"/>
            <w:gridSpan w:val="2"/>
            <w:tcBorders>
              <w:top w:val="nil"/>
              <w:left w:val="single" w:color="auto" w:sz="4" w:space="0"/>
              <w:bottom w:val="single" w:color="auto" w:sz="4" w:space="0"/>
              <w:right w:val="single" w:color="auto" w:sz="4" w:space="0"/>
            </w:tcBorders>
            <w:shd w:val="clear" w:color="auto" w:fill="auto"/>
            <w:vAlign w:val="center"/>
          </w:tcPr>
          <w:p>
            <w:pPr>
              <w:spacing w:line="200" w:lineRule="exact"/>
              <w:rPr>
                <w:rFonts w:ascii="宋体" w:hAnsi="宋体" w:cs="Arial"/>
                <w:b/>
                <w:bCs/>
                <w:sz w:val="15"/>
                <w:szCs w:val="15"/>
              </w:rPr>
            </w:pPr>
            <w:r>
              <w:rPr>
                <w:rFonts w:hint="eastAsia" w:cs="Arial"/>
                <w:b/>
                <w:bCs/>
                <w:sz w:val="15"/>
                <w:szCs w:val="15"/>
              </w:rPr>
              <w:t>其他一般公共服务支出</w:t>
            </w:r>
          </w:p>
        </w:tc>
        <w:tc>
          <w:tcPr>
            <w:tcW w:w="1134" w:type="dxa"/>
            <w:tcBorders>
              <w:top w:val="nil"/>
              <w:left w:val="nil"/>
              <w:bottom w:val="single" w:color="auto" w:sz="4" w:space="0"/>
              <w:right w:val="nil"/>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3,601.82</w:t>
            </w:r>
          </w:p>
        </w:tc>
        <w:tc>
          <w:tcPr>
            <w:tcW w:w="1418" w:type="dxa"/>
            <w:tcBorders>
              <w:top w:val="nil"/>
              <w:left w:val="single" w:color="auto" w:sz="4" w:space="0"/>
              <w:bottom w:val="single" w:color="auto" w:sz="4" w:space="0"/>
              <w:right w:val="nil"/>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　</w:t>
            </w:r>
          </w:p>
        </w:tc>
        <w:tc>
          <w:tcPr>
            <w:tcW w:w="1134"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3,601.82</w:t>
            </w:r>
          </w:p>
        </w:tc>
        <w:tc>
          <w:tcPr>
            <w:tcW w:w="1280" w:type="dxa"/>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130" w:type="dxa"/>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641" w:type="dxa"/>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284" w:hRule="atLeast"/>
          <w:jc w:val="center"/>
        </w:trPr>
        <w:tc>
          <w:tcPr>
            <w:tcW w:w="1344" w:type="dxa"/>
            <w:tcBorders>
              <w:top w:val="nil"/>
              <w:left w:val="single" w:color="auto" w:sz="4" w:space="0"/>
              <w:bottom w:val="single" w:color="auto" w:sz="4" w:space="0"/>
              <w:right w:val="nil"/>
            </w:tcBorders>
            <w:shd w:val="clear" w:color="auto" w:fill="auto"/>
            <w:vAlign w:val="center"/>
          </w:tcPr>
          <w:p>
            <w:pPr>
              <w:widowControl/>
              <w:spacing w:line="200" w:lineRule="exact"/>
              <w:jc w:val="left"/>
              <w:rPr>
                <w:rFonts w:ascii="宋体" w:hAnsi="宋体" w:cs="Arial"/>
                <w:kern w:val="0"/>
                <w:sz w:val="15"/>
                <w:szCs w:val="15"/>
              </w:rPr>
            </w:pPr>
            <w:r>
              <w:rPr>
                <w:rFonts w:hint="eastAsia" w:ascii="宋体" w:hAnsi="宋体" w:cs="Arial"/>
                <w:kern w:val="0"/>
                <w:sz w:val="15"/>
                <w:szCs w:val="15"/>
              </w:rPr>
              <w:t>2019999</w:t>
            </w:r>
          </w:p>
        </w:tc>
        <w:tc>
          <w:tcPr>
            <w:tcW w:w="4297" w:type="dxa"/>
            <w:gridSpan w:val="2"/>
            <w:tcBorders>
              <w:top w:val="nil"/>
              <w:left w:val="single" w:color="auto" w:sz="4" w:space="0"/>
              <w:bottom w:val="single" w:color="auto" w:sz="4" w:space="0"/>
              <w:right w:val="single" w:color="auto" w:sz="4" w:space="0"/>
            </w:tcBorders>
            <w:shd w:val="clear" w:color="auto" w:fill="auto"/>
            <w:vAlign w:val="center"/>
          </w:tcPr>
          <w:p>
            <w:pPr>
              <w:spacing w:line="200" w:lineRule="exact"/>
              <w:rPr>
                <w:rFonts w:ascii="宋体" w:hAnsi="宋体" w:cs="Arial"/>
                <w:sz w:val="15"/>
                <w:szCs w:val="15"/>
              </w:rPr>
            </w:pPr>
            <w:r>
              <w:rPr>
                <w:rFonts w:hint="eastAsia" w:cs="Arial"/>
                <w:sz w:val="15"/>
                <w:szCs w:val="15"/>
              </w:rPr>
              <w:t xml:space="preserve">  其他一般公共服务支出</w:t>
            </w:r>
          </w:p>
        </w:tc>
        <w:tc>
          <w:tcPr>
            <w:tcW w:w="1134" w:type="dxa"/>
            <w:tcBorders>
              <w:top w:val="nil"/>
              <w:left w:val="nil"/>
              <w:bottom w:val="single" w:color="auto" w:sz="4" w:space="0"/>
              <w:right w:val="nil"/>
            </w:tcBorders>
            <w:shd w:val="clear" w:color="auto" w:fill="auto"/>
            <w:vAlign w:val="center"/>
          </w:tcPr>
          <w:p>
            <w:pPr>
              <w:spacing w:line="200" w:lineRule="exact"/>
              <w:jc w:val="right"/>
              <w:rPr>
                <w:rFonts w:ascii="宋体" w:hAnsi="宋体" w:cs="Arial"/>
                <w:sz w:val="15"/>
                <w:szCs w:val="15"/>
              </w:rPr>
            </w:pPr>
            <w:r>
              <w:rPr>
                <w:rFonts w:hint="eastAsia" w:cs="Arial"/>
                <w:sz w:val="15"/>
                <w:szCs w:val="15"/>
              </w:rPr>
              <w:t>3,601.82</w:t>
            </w:r>
          </w:p>
        </w:tc>
        <w:tc>
          <w:tcPr>
            <w:tcW w:w="1418" w:type="dxa"/>
            <w:tcBorders>
              <w:top w:val="nil"/>
              <w:left w:val="single" w:color="auto" w:sz="4" w:space="0"/>
              <w:bottom w:val="single" w:color="auto" w:sz="4" w:space="0"/>
              <w:right w:val="nil"/>
            </w:tcBorders>
            <w:shd w:val="clear" w:color="auto" w:fill="auto"/>
            <w:vAlign w:val="center"/>
          </w:tcPr>
          <w:p>
            <w:pPr>
              <w:spacing w:line="200" w:lineRule="exact"/>
              <w:jc w:val="right"/>
              <w:rPr>
                <w:rFonts w:ascii="宋体" w:hAnsi="宋体" w:cs="Arial"/>
                <w:sz w:val="15"/>
                <w:szCs w:val="15"/>
              </w:rPr>
            </w:pPr>
            <w:r>
              <w:rPr>
                <w:rFonts w:hint="eastAsia" w:cs="Arial"/>
                <w:sz w:val="15"/>
                <w:szCs w:val="15"/>
              </w:rPr>
              <w:t>　</w:t>
            </w:r>
          </w:p>
        </w:tc>
        <w:tc>
          <w:tcPr>
            <w:tcW w:w="1134"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right"/>
              <w:rPr>
                <w:rFonts w:ascii="宋体" w:hAnsi="宋体" w:cs="Arial"/>
                <w:sz w:val="15"/>
                <w:szCs w:val="15"/>
              </w:rPr>
            </w:pPr>
            <w:r>
              <w:rPr>
                <w:rFonts w:hint="eastAsia" w:cs="Arial"/>
                <w:sz w:val="15"/>
                <w:szCs w:val="15"/>
              </w:rPr>
              <w:t>3,601.82</w:t>
            </w:r>
          </w:p>
        </w:tc>
        <w:tc>
          <w:tcPr>
            <w:tcW w:w="1280" w:type="dxa"/>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130" w:type="dxa"/>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641" w:type="dxa"/>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284" w:hRule="atLeast"/>
          <w:jc w:val="center"/>
        </w:trPr>
        <w:tc>
          <w:tcPr>
            <w:tcW w:w="1344" w:type="dxa"/>
            <w:tcBorders>
              <w:top w:val="nil"/>
              <w:left w:val="single" w:color="auto" w:sz="4" w:space="0"/>
              <w:bottom w:val="single" w:color="auto" w:sz="4" w:space="0"/>
              <w:right w:val="nil"/>
            </w:tcBorders>
            <w:shd w:val="clear" w:color="auto" w:fill="auto"/>
            <w:vAlign w:val="center"/>
          </w:tcPr>
          <w:p>
            <w:pPr>
              <w:widowControl/>
              <w:spacing w:line="200" w:lineRule="exact"/>
              <w:jc w:val="left"/>
              <w:rPr>
                <w:rFonts w:ascii="宋体" w:hAnsi="宋体" w:cs="Arial"/>
                <w:b/>
                <w:bCs/>
                <w:kern w:val="0"/>
                <w:sz w:val="15"/>
                <w:szCs w:val="15"/>
              </w:rPr>
            </w:pPr>
            <w:r>
              <w:rPr>
                <w:rFonts w:hint="eastAsia" w:ascii="宋体" w:hAnsi="宋体" w:cs="Arial"/>
                <w:b/>
                <w:bCs/>
                <w:kern w:val="0"/>
                <w:sz w:val="15"/>
                <w:szCs w:val="15"/>
              </w:rPr>
              <w:t>205</w:t>
            </w:r>
          </w:p>
        </w:tc>
        <w:tc>
          <w:tcPr>
            <w:tcW w:w="4297" w:type="dxa"/>
            <w:gridSpan w:val="2"/>
            <w:tcBorders>
              <w:top w:val="nil"/>
              <w:left w:val="single" w:color="auto" w:sz="4" w:space="0"/>
              <w:bottom w:val="single" w:color="auto" w:sz="4" w:space="0"/>
              <w:right w:val="single" w:color="auto" w:sz="4" w:space="0"/>
            </w:tcBorders>
            <w:shd w:val="clear" w:color="auto" w:fill="auto"/>
            <w:vAlign w:val="center"/>
          </w:tcPr>
          <w:p>
            <w:pPr>
              <w:spacing w:line="200" w:lineRule="exact"/>
              <w:rPr>
                <w:rFonts w:ascii="宋体" w:hAnsi="宋体" w:cs="Arial"/>
                <w:b/>
                <w:bCs/>
                <w:sz w:val="15"/>
                <w:szCs w:val="15"/>
              </w:rPr>
            </w:pPr>
            <w:r>
              <w:rPr>
                <w:rFonts w:hint="eastAsia" w:cs="Arial"/>
                <w:b/>
                <w:bCs/>
                <w:sz w:val="15"/>
                <w:szCs w:val="15"/>
              </w:rPr>
              <w:t>教育支出</w:t>
            </w:r>
          </w:p>
        </w:tc>
        <w:tc>
          <w:tcPr>
            <w:tcW w:w="1134" w:type="dxa"/>
            <w:tcBorders>
              <w:top w:val="nil"/>
              <w:left w:val="nil"/>
              <w:bottom w:val="single" w:color="auto" w:sz="4" w:space="0"/>
              <w:right w:val="nil"/>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8,130.78</w:t>
            </w:r>
          </w:p>
        </w:tc>
        <w:tc>
          <w:tcPr>
            <w:tcW w:w="1418" w:type="dxa"/>
            <w:tcBorders>
              <w:top w:val="nil"/>
              <w:left w:val="single" w:color="auto" w:sz="4" w:space="0"/>
              <w:bottom w:val="single" w:color="auto" w:sz="4" w:space="0"/>
              <w:right w:val="nil"/>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5,957.50</w:t>
            </w:r>
          </w:p>
        </w:tc>
        <w:tc>
          <w:tcPr>
            <w:tcW w:w="1134"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2,173.28</w:t>
            </w:r>
          </w:p>
        </w:tc>
        <w:tc>
          <w:tcPr>
            <w:tcW w:w="1280" w:type="dxa"/>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130" w:type="dxa"/>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641" w:type="dxa"/>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284" w:hRule="atLeast"/>
          <w:jc w:val="center"/>
        </w:trPr>
        <w:tc>
          <w:tcPr>
            <w:tcW w:w="1344" w:type="dxa"/>
            <w:tcBorders>
              <w:top w:val="nil"/>
              <w:left w:val="single" w:color="auto" w:sz="4" w:space="0"/>
              <w:bottom w:val="single" w:color="auto" w:sz="4" w:space="0"/>
              <w:right w:val="nil"/>
            </w:tcBorders>
            <w:shd w:val="clear" w:color="auto" w:fill="auto"/>
            <w:vAlign w:val="center"/>
          </w:tcPr>
          <w:p>
            <w:pPr>
              <w:widowControl/>
              <w:spacing w:line="200" w:lineRule="exact"/>
              <w:jc w:val="left"/>
              <w:rPr>
                <w:rFonts w:ascii="宋体" w:hAnsi="宋体" w:cs="Arial"/>
                <w:b/>
                <w:bCs/>
                <w:kern w:val="0"/>
                <w:sz w:val="15"/>
                <w:szCs w:val="15"/>
              </w:rPr>
            </w:pPr>
            <w:r>
              <w:rPr>
                <w:rFonts w:hint="eastAsia" w:ascii="宋体" w:hAnsi="宋体" w:cs="Arial"/>
                <w:b/>
                <w:bCs/>
                <w:kern w:val="0"/>
                <w:sz w:val="15"/>
                <w:szCs w:val="15"/>
              </w:rPr>
              <w:t>20508</w:t>
            </w:r>
          </w:p>
        </w:tc>
        <w:tc>
          <w:tcPr>
            <w:tcW w:w="4297" w:type="dxa"/>
            <w:gridSpan w:val="2"/>
            <w:tcBorders>
              <w:top w:val="nil"/>
              <w:left w:val="single" w:color="auto" w:sz="4" w:space="0"/>
              <w:bottom w:val="single" w:color="auto" w:sz="4" w:space="0"/>
              <w:right w:val="single" w:color="auto" w:sz="4" w:space="0"/>
            </w:tcBorders>
            <w:shd w:val="clear" w:color="auto" w:fill="auto"/>
            <w:vAlign w:val="center"/>
          </w:tcPr>
          <w:p>
            <w:pPr>
              <w:spacing w:line="200" w:lineRule="exact"/>
              <w:rPr>
                <w:rFonts w:ascii="宋体" w:hAnsi="宋体" w:cs="Arial"/>
                <w:b/>
                <w:bCs/>
                <w:sz w:val="15"/>
                <w:szCs w:val="15"/>
              </w:rPr>
            </w:pPr>
            <w:r>
              <w:rPr>
                <w:rFonts w:hint="eastAsia" w:cs="Arial"/>
                <w:b/>
                <w:bCs/>
                <w:sz w:val="15"/>
                <w:szCs w:val="15"/>
              </w:rPr>
              <w:t>进修及培训</w:t>
            </w:r>
          </w:p>
        </w:tc>
        <w:tc>
          <w:tcPr>
            <w:tcW w:w="1134" w:type="dxa"/>
            <w:tcBorders>
              <w:top w:val="nil"/>
              <w:left w:val="nil"/>
              <w:bottom w:val="single" w:color="auto" w:sz="4" w:space="0"/>
              <w:right w:val="nil"/>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8,130.78</w:t>
            </w:r>
          </w:p>
        </w:tc>
        <w:tc>
          <w:tcPr>
            <w:tcW w:w="1418" w:type="dxa"/>
            <w:tcBorders>
              <w:top w:val="nil"/>
              <w:left w:val="single" w:color="auto" w:sz="4" w:space="0"/>
              <w:bottom w:val="single" w:color="auto" w:sz="4" w:space="0"/>
              <w:right w:val="nil"/>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5,957.50</w:t>
            </w:r>
          </w:p>
        </w:tc>
        <w:tc>
          <w:tcPr>
            <w:tcW w:w="1134"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2,173.28</w:t>
            </w:r>
          </w:p>
        </w:tc>
        <w:tc>
          <w:tcPr>
            <w:tcW w:w="1280" w:type="dxa"/>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p>
        </w:tc>
        <w:tc>
          <w:tcPr>
            <w:tcW w:w="1130" w:type="dxa"/>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p>
        </w:tc>
        <w:tc>
          <w:tcPr>
            <w:tcW w:w="1641" w:type="dxa"/>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284" w:hRule="atLeast"/>
          <w:jc w:val="center"/>
        </w:trPr>
        <w:tc>
          <w:tcPr>
            <w:tcW w:w="1344" w:type="dxa"/>
            <w:tcBorders>
              <w:top w:val="nil"/>
              <w:left w:val="single" w:color="auto" w:sz="4" w:space="0"/>
              <w:bottom w:val="single" w:color="auto" w:sz="4" w:space="0"/>
              <w:right w:val="nil"/>
            </w:tcBorders>
            <w:shd w:val="clear" w:color="auto" w:fill="auto"/>
            <w:vAlign w:val="center"/>
          </w:tcPr>
          <w:p>
            <w:pPr>
              <w:widowControl/>
              <w:spacing w:line="200" w:lineRule="exact"/>
              <w:jc w:val="left"/>
              <w:rPr>
                <w:rFonts w:ascii="宋体" w:hAnsi="宋体" w:cs="Arial"/>
                <w:kern w:val="0"/>
                <w:sz w:val="15"/>
                <w:szCs w:val="15"/>
              </w:rPr>
            </w:pPr>
            <w:r>
              <w:rPr>
                <w:rFonts w:hint="eastAsia" w:ascii="宋体" w:hAnsi="宋体" w:cs="Arial"/>
                <w:kern w:val="0"/>
                <w:sz w:val="15"/>
                <w:szCs w:val="15"/>
              </w:rPr>
              <w:t>2050802</w:t>
            </w:r>
          </w:p>
        </w:tc>
        <w:tc>
          <w:tcPr>
            <w:tcW w:w="4297" w:type="dxa"/>
            <w:gridSpan w:val="2"/>
            <w:tcBorders>
              <w:top w:val="nil"/>
              <w:left w:val="single" w:color="auto" w:sz="4" w:space="0"/>
              <w:bottom w:val="single" w:color="auto" w:sz="4" w:space="0"/>
              <w:right w:val="single" w:color="auto" w:sz="4" w:space="0"/>
            </w:tcBorders>
            <w:shd w:val="clear" w:color="auto" w:fill="auto"/>
            <w:vAlign w:val="center"/>
          </w:tcPr>
          <w:p>
            <w:pPr>
              <w:spacing w:line="200" w:lineRule="exact"/>
              <w:rPr>
                <w:rFonts w:ascii="宋体" w:hAnsi="宋体" w:cs="Arial"/>
                <w:sz w:val="15"/>
                <w:szCs w:val="15"/>
              </w:rPr>
            </w:pPr>
            <w:r>
              <w:rPr>
                <w:rFonts w:hint="eastAsia" w:cs="Arial"/>
                <w:sz w:val="15"/>
                <w:szCs w:val="15"/>
              </w:rPr>
              <w:t xml:space="preserve">  干部教育</w:t>
            </w:r>
          </w:p>
        </w:tc>
        <w:tc>
          <w:tcPr>
            <w:tcW w:w="1134" w:type="dxa"/>
            <w:tcBorders>
              <w:top w:val="nil"/>
              <w:left w:val="nil"/>
              <w:bottom w:val="single" w:color="auto" w:sz="4" w:space="0"/>
              <w:right w:val="nil"/>
            </w:tcBorders>
            <w:shd w:val="clear" w:color="auto" w:fill="auto"/>
            <w:vAlign w:val="center"/>
          </w:tcPr>
          <w:p>
            <w:pPr>
              <w:spacing w:line="200" w:lineRule="exact"/>
              <w:jc w:val="right"/>
              <w:rPr>
                <w:rFonts w:ascii="宋体" w:hAnsi="宋体" w:cs="Arial"/>
                <w:sz w:val="15"/>
                <w:szCs w:val="15"/>
              </w:rPr>
            </w:pPr>
            <w:r>
              <w:rPr>
                <w:rFonts w:hint="eastAsia" w:cs="Arial"/>
                <w:sz w:val="15"/>
                <w:szCs w:val="15"/>
              </w:rPr>
              <w:t>8,130.78</w:t>
            </w:r>
          </w:p>
        </w:tc>
        <w:tc>
          <w:tcPr>
            <w:tcW w:w="1418" w:type="dxa"/>
            <w:tcBorders>
              <w:top w:val="nil"/>
              <w:left w:val="single" w:color="auto" w:sz="4" w:space="0"/>
              <w:bottom w:val="single" w:color="auto" w:sz="4" w:space="0"/>
              <w:right w:val="nil"/>
            </w:tcBorders>
            <w:shd w:val="clear" w:color="auto" w:fill="auto"/>
            <w:vAlign w:val="center"/>
          </w:tcPr>
          <w:p>
            <w:pPr>
              <w:spacing w:line="200" w:lineRule="exact"/>
              <w:jc w:val="right"/>
              <w:rPr>
                <w:rFonts w:ascii="宋体" w:hAnsi="宋体" w:cs="Arial"/>
                <w:sz w:val="15"/>
                <w:szCs w:val="15"/>
              </w:rPr>
            </w:pPr>
            <w:r>
              <w:rPr>
                <w:rFonts w:hint="eastAsia" w:cs="Arial"/>
                <w:sz w:val="15"/>
                <w:szCs w:val="15"/>
              </w:rPr>
              <w:t>5,957.50</w:t>
            </w:r>
          </w:p>
        </w:tc>
        <w:tc>
          <w:tcPr>
            <w:tcW w:w="1134"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right"/>
              <w:rPr>
                <w:rFonts w:ascii="宋体" w:hAnsi="宋体" w:cs="Arial"/>
                <w:sz w:val="15"/>
                <w:szCs w:val="15"/>
              </w:rPr>
            </w:pPr>
            <w:r>
              <w:rPr>
                <w:rFonts w:hint="eastAsia" w:cs="Arial"/>
                <w:sz w:val="15"/>
                <w:szCs w:val="15"/>
              </w:rPr>
              <w:t>2,173.28</w:t>
            </w:r>
          </w:p>
        </w:tc>
        <w:tc>
          <w:tcPr>
            <w:tcW w:w="1280" w:type="dxa"/>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130" w:type="dxa"/>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641" w:type="dxa"/>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284" w:hRule="atLeast"/>
          <w:jc w:val="center"/>
        </w:trPr>
        <w:tc>
          <w:tcPr>
            <w:tcW w:w="1344" w:type="dxa"/>
            <w:tcBorders>
              <w:top w:val="nil"/>
              <w:left w:val="single" w:color="auto" w:sz="4" w:space="0"/>
              <w:bottom w:val="single" w:color="auto" w:sz="4" w:space="0"/>
              <w:right w:val="nil"/>
            </w:tcBorders>
            <w:shd w:val="clear" w:color="auto" w:fill="auto"/>
            <w:vAlign w:val="center"/>
          </w:tcPr>
          <w:p>
            <w:pPr>
              <w:widowControl/>
              <w:spacing w:line="200" w:lineRule="exact"/>
              <w:jc w:val="left"/>
              <w:rPr>
                <w:rFonts w:ascii="宋体" w:hAnsi="宋体" w:cs="Arial"/>
                <w:b/>
                <w:bCs/>
                <w:kern w:val="0"/>
                <w:sz w:val="15"/>
                <w:szCs w:val="15"/>
              </w:rPr>
            </w:pPr>
            <w:r>
              <w:rPr>
                <w:rFonts w:hint="eastAsia" w:ascii="宋体" w:hAnsi="宋体" w:cs="Arial"/>
                <w:b/>
                <w:bCs/>
                <w:kern w:val="0"/>
                <w:sz w:val="15"/>
                <w:szCs w:val="15"/>
              </w:rPr>
              <w:t>206</w:t>
            </w:r>
          </w:p>
        </w:tc>
        <w:tc>
          <w:tcPr>
            <w:tcW w:w="4297" w:type="dxa"/>
            <w:gridSpan w:val="2"/>
            <w:tcBorders>
              <w:top w:val="nil"/>
              <w:left w:val="single" w:color="auto" w:sz="4" w:space="0"/>
              <w:bottom w:val="single" w:color="auto" w:sz="4" w:space="0"/>
              <w:right w:val="single" w:color="auto" w:sz="4" w:space="0"/>
            </w:tcBorders>
            <w:shd w:val="clear" w:color="auto" w:fill="auto"/>
            <w:vAlign w:val="center"/>
          </w:tcPr>
          <w:p>
            <w:pPr>
              <w:spacing w:line="200" w:lineRule="exact"/>
              <w:rPr>
                <w:rFonts w:ascii="宋体" w:hAnsi="宋体" w:cs="Arial"/>
                <w:b/>
                <w:bCs/>
                <w:sz w:val="15"/>
                <w:szCs w:val="15"/>
              </w:rPr>
            </w:pPr>
            <w:r>
              <w:rPr>
                <w:rFonts w:hint="eastAsia" w:cs="Arial"/>
                <w:b/>
                <w:bCs/>
                <w:sz w:val="15"/>
                <w:szCs w:val="15"/>
              </w:rPr>
              <w:t>科学技术支出</w:t>
            </w:r>
          </w:p>
        </w:tc>
        <w:tc>
          <w:tcPr>
            <w:tcW w:w="1134" w:type="dxa"/>
            <w:tcBorders>
              <w:top w:val="nil"/>
              <w:left w:val="nil"/>
              <w:bottom w:val="single" w:color="auto" w:sz="4" w:space="0"/>
              <w:right w:val="nil"/>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2.66</w:t>
            </w:r>
          </w:p>
        </w:tc>
        <w:tc>
          <w:tcPr>
            <w:tcW w:w="1418" w:type="dxa"/>
            <w:tcBorders>
              <w:top w:val="nil"/>
              <w:left w:val="single" w:color="auto" w:sz="4" w:space="0"/>
              <w:bottom w:val="single" w:color="auto" w:sz="4" w:space="0"/>
              <w:right w:val="nil"/>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　</w:t>
            </w:r>
          </w:p>
        </w:tc>
        <w:tc>
          <w:tcPr>
            <w:tcW w:w="1134"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2.66</w:t>
            </w:r>
          </w:p>
        </w:tc>
        <w:tc>
          <w:tcPr>
            <w:tcW w:w="1280" w:type="dxa"/>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130" w:type="dxa"/>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641" w:type="dxa"/>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284" w:hRule="atLeast"/>
          <w:jc w:val="center"/>
        </w:trPr>
        <w:tc>
          <w:tcPr>
            <w:tcW w:w="1344" w:type="dxa"/>
            <w:tcBorders>
              <w:top w:val="nil"/>
              <w:left w:val="single" w:color="auto" w:sz="4" w:space="0"/>
              <w:bottom w:val="single" w:color="auto" w:sz="4" w:space="0"/>
              <w:right w:val="nil"/>
            </w:tcBorders>
            <w:shd w:val="clear" w:color="auto" w:fill="auto"/>
            <w:vAlign w:val="center"/>
          </w:tcPr>
          <w:p>
            <w:pPr>
              <w:widowControl/>
              <w:spacing w:line="200" w:lineRule="exact"/>
              <w:jc w:val="left"/>
              <w:rPr>
                <w:rFonts w:ascii="宋体" w:hAnsi="宋体" w:cs="Arial"/>
                <w:b/>
                <w:bCs/>
                <w:kern w:val="0"/>
                <w:sz w:val="15"/>
                <w:szCs w:val="15"/>
              </w:rPr>
            </w:pPr>
            <w:r>
              <w:rPr>
                <w:rFonts w:hint="eastAsia" w:ascii="宋体" w:hAnsi="宋体" w:cs="Arial"/>
                <w:b/>
                <w:bCs/>
                <w:kern w:val="0"/>
                <w:sz w:val="15"/>
                <w:szCs w:val="15"/>
              </w:rPr>
              <w:t>20604</w:t>
            </w:r>
          </w:p>
        </w:tc>
        <w:tc>
          <w:tcPr>
            <w:tcW w:w="4297" w:type="dxa"/>
            <w:gridSpan w:val="2"/>
            <w:tcBorders>
              <w:top w:val="nil"/>
              <w:left w:val="single" w:color="auto" w:sz="4" w:space="0"/>
              <w:bottom w:val="single" w:color="auto" w:sz="4" w:space="0"/>
              <w:right w:val="single" w:color="auto" w:sz="4" w:space="0"/>
            </w:tcBorders>
            <w:shd w:val="clear" w:color="auto" w:fill="auto"/>
            <w:vAlign w:val="center"/>
          </w:tcPr>
          <w:p>
            <w:pPr>
              <w:spacing w:line="200" w:lineRule="exact"/>
              <w:rPr>
                <w:rFonts w:ascii="宋体" w:hAnsi="宋体" w:cs="Arial"/>
                <w:b/>
                <w:bCs/>
                <w:sz w:val="15"/>
                <w:szCs w:val="15"/>
              </w:rPr>
            </w:pPr>
            <w:r>
              <w:rPr>
                <w:rFonts w:hint="eastAsia" w:cs="Arial"/>
                <w:b/>
                <w:bCs/>
                <w:sz w:val="15"/>
                <w:szCs w:val="15"/>
              </w:rPr>
              <w:t>技术研究与开发</w:t>
            </w:r>
          </w:p>
        </w:tc>
        <w:tc>
          <w:tcPr>
            <w:tcW w:w="1134" w:type="dxa"/>
            <w:tcBorders>
              <w:top w:val="nil"/>
              <w:left w:val="nil"/>
              <w:bottom w:val="single" w:color="auto" w:sz="4" w:space="0"/>
              <w:right w:val="nil"/>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2.66</w:t>
            </w:r>
          </w:p>
        </w:tc>
        <w:tc>
          <w:tcPr>
            <w:tcW w:w="1418" w:type="dxa"/>
            <w:tcBorders>
              <w:top w:val="nil"/>
              <w:left w:val="single" w:color="auto" w:sz="4" w:space="0"/>
              <w:bottom w:val="single" w:color="auto" w:sz="4" w:space="0"/>
              <w:right w:val="nil"/>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　</w:t>
            </w:r>
          </w:p>
        </w:tc>
        <w:tc>
          <w:tcPr>
            <w:tcW w:w="1134"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2.66</w:t>
            </w:r>
          </w:p>
        </w:tc>
        <w:tc>
          <w:tcPr>
            <w:tcW w:w="1280" w:type="dxa"/>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130" w:type="dxa"/>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641" w:type="dxa"/>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284" w:hRule="atLeast"/>
          <w:jc w:val="center"/>
        </w:trPr>
        <w:tc>
          <w:tcPr>
            <w:tcW w:w="1344" w:type="dxa"/>
            <w:tcBorders>
              <w:top w:val="nil"/>
              <w:left w:val="single" w:color="auto" w:sz="4" w:space="0"/>
              <w:bottom w:val="single" w:color="auto" w:sz="4" w:space="0"/>
              <w:right w:val="nil"/>
            </w:tcBorders>
            <w:shd w:val="clear" w:color="auto" w:fill="auto"/>
            <w:vAlign w:val="center"/>
          </w:tcPr>
          <w:p>
            <w:pPr>
              <w:widowControl/>
              <w:spacing w:line="200" w:lineRule="exact"/>
              <w:jc w:val="left"/>
              <w:rPr>
                <w:rFonts w:ascii="宋体" w:hAnsi="宋体" w:cs="Arial"/>
                <w:kern w:val="0"/>
                <w:sz w:val="15"/>
                <w:szCs w:val="15"/>
              </w:rPr>
            </w:pPr>
            <w:r>
              <w:rPr>
                <w:rFonts w:hint="eastAsia" w:ascii="宋体" w:hAnsi="宋体" w:cs="Arial"/>
                <w:kern w:val="0"/>
                <w:sz w:val="15"/>
                <w:szCs w:val="15"/>
              </w:rPr>
              <w:t>2060402</w:t>
            </w:r>
          </w:p>
        </w:tc>
        <w:tc>
          <w:tcPr>
            <w:tcW w:w="4297" w:type="dxa"/>
            <w:gridSpan w:val="2"/>
            <w:tcBorders>
              <w:top w:val="nil"/>
              <w:left w:val="single" w:color="auto" w:sz="4" w:space="0"/>
              <w:bottom w:val="single" w:color="auto" w:sz="4" w:space="0"/>
              <w:right w:val="single" w:color="auto" w:sz="4" w:space="0"/>
            </w:tcBorders>
            <w:shd w:val="clear" w:color="auto" w:fill="auto"/>
            <w:vAlign w:val="center"/>
          </w:tcPr>
          <w:p>
            <w:pPr>
              <w:spacing w:line="200" w:lineRule="exact"/>
              <w:rPr>
                <w:rFonts w:ascii="宋体" w:hAnsi="宋体" w:cs="Arial"/>
                <w:sz w:val="15"/>
                <w:szCs w:val="15"/>
              </w:rPr>
            </w:pPr>
            <w:r>
              <w:rPr>
                <w:rFonts w:hint="eastAsia" w:cs="Arial"/>
                <w:sz w:val="15"/>
                <w:szCs w:val="15"/>
              </w:rPr>
              <w:t xml:space="preserve">  应用技术研究与开发</w:t>
            </w:r>
          </w:p>
        </w:tc>
        <w:tc>
          <w:tcPr>
            <w:tcW w:w="1134" w:type="dxa"/>
            <w:tcBorders>
              <w:top w:val="nil"/>
              <w:left w:val="nil"/>
              <w:bottom w:val="single" w:color="auto" w:sz="4" w:space="0"/>
              <w:right w:val="nil"/>
            </w:tcBorders>
            <w:shd w:val="clear" w:color="auto" w:fill="auto"/>
            <w:vAlign w:val="center"/>
          </w:tcPr>
          <w:p>
            <w:pPr>
              <w:spacing w:line="200" w:lineRule="exact"/>
              <w:jc w:val="right"/>
              <w:rPr>
                <w:rFonts w:ascii="宋体" w:hAnsi="宋体" w:cs="Arial"/>
                <w:sz w:val="15"/>
                <w:szCs w:val="15"/>
              </w:rPr>
            </w:pPr>
            <w:r>
              <w:rPr>
                <w:rFonts w:hint="eastAsia" w:cs="Arial"/>
                <w:sz w:val="15"/>
                <w:szCs w:val="15"/>
              </w:rPr>
              <w:t>2.66</w:t>
            </w:r>
          </w:p>
        </w:tc>
        <w:tc>
          <w:tcPr>
            <w:tcW w:w="1418" w:type="dxa"/>
            <w:tcBorders>
              <w:top w:val="nil"/>
              <w:left w:val="single" w:color="auto" w:sz="4" w:space="0"/>
              <w:bottom w:val="single" w:color="auto" w:sz="4" w:space="0"/>
              <w:right w:val="nil"/>
            </w:tcBorders>
            <w:shd w:val="clear" w:color="auto" w:fill="auto"/>
            <w:vAlign w:val="center"/>
          </w:tcPr>
          <w:p>
            <w:pPr>
              <w:spacing w:line="200" w:lineRule="exact"/>
              <w:jc w:val="right"/>
              <w:rPr>
                <w:rFonts w:ascii="宋体" w:hAnsi="宋体" w:cs="Arial"/>
                <w:sz w:val="15"/>
                <w:szCs w:val="15"/>
              </w:rPr>
            </w:pPr>
            <w:r>
              <w:rPr>
                <w:rFonts w:hint="eastAsia" w:cs="Arial"/>
                <w:sz w:val="15"/>
                <w:szCs w:val="15"/>
              </w:rPr>
              <w:t>　</w:t>
            </w:r>
          </w:p>
        </w:tc>
        <w:tc>
          <w:tcPr>
            <w:tcW w:w="1134"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right"/>
              <w:rPr>
                <w:rFonts w:ascii="宋体" w:hAnsi="宋体" w:cs="Arial"/>
                <w:sz w:val="15"/>
                <w:szCs w:val="15"/>
              </w:rPr>
            </w:pPr>
            <w:r>
              <w:rPr>
                <w:rFonts w:hint="eastAsia" w:cs="Arial"/>
                <w:sz w:val="15"/>
                <w:szCs w:val="15"/>
              </w:rPr>
              <w:t>2.66</w:t>
            </w:r>
          </w:p>
        </w:tc>
        <w:tc>
          <w:tcPr>
            <w:tcW w:w="1280" w:type="dxa"/>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130" w:type="dxa"/>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r>
              <w:rPr>
                <w:rFonts w:hint="eastAsia" w:ascii="仿宋_GB2312" w:hAnsi="宋体" w:eastAsia="仿宋_GB2312" w:cs="宋体"/>
                <w:kern w:val="0"/>
                <w:sz w:val="15"/>
                <w:szCs w:val="15"/>
              </w:rPr>
              <w:t>　</w:t>
            </w:r>
          </w:p>
        </w:tc>
        <w:tc>
          <w:tcPr>
            <w:tcW w:w="1641" w:type="dxa"/>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284" w:hRule="atLeast"/>
          <w:jc w:val="center"/>
        </w:trPr>
        <w:tc>
          <w:tcPr>
            <w:tcW w:w="1344" w:type="dxa"/>
            <w:tcBorders>
              <w:top w:val="nil"/>
              <w:left w:val="single" w:color="auto" w:sz="4" w:space="0"/>
              <w:bottom w:val="single" w:color="auto" w:sz="4" w:space="0"/>
              <w:right w:val="nil"/>
            </w:tcBorders>
            <w:shd w:val="clear" w:color="auto" w:fill="auto"/>
            <w:vAlign w:val="center"/>
          </w:tcPr>
          <w:p>
            <w:pPr>
              <w:widowControl/>
              <w:spacing w:line="200" w:lineRule="exact"/>
              <w:jc w:val="left"/>
              <w:rPr>
                <w:rFonts w:ascii="宋体" w:hAnsi="宋体" w:cs="Arial"/>
                <w:b/>
                <w:bCs/>
                <w:kern w:val="0"/>
                <w:sz w:val="15"/>
                <w:szCs w:val="15"/>
              </w:rPr>
            </w:pPr>
            <w:r>
              <w:rPr>
                <w:rFonts w:hint="eastAsia" w:ascii="宋体" w:hAnsi="宋体" w:cs="Arial"/>
                <w:b/>
                <w:bCs/>
                <w:kern w:val="0"/>
                <w:sz w:val="15"/>
                <w:szCs w:val="15"/>
              </w:rPr>
              <w:t>208</w:t>
            </w:r>
          </w:p>
        </w:tc>
        <w:tc>
          <w:tcPr>
            <w:tcW w:w="4297" w:type="dxa"/>
            <w:gridSpan w:val="2"/>
            <w:tcBorders>
              <w:top w:val="nil"/>
              <w:left w:val="single" w:color="auto" w:sz="4" w:space="0"/>
              <w:bottom w:val="single" w:color="auto" w:sz="4" w:space="0"/>
              <w:right w:val="single" w:color="auto" w:sz="4" w:space="0"/>
            </w:tcBorders>
            <w:shd w:val="clear" w:color="auto" w:fill="auto"/>
            <w:vAlign w:val="center"/>
          </w:tcPr>
          <w:p>
            <w:pPr>
              <w:spacing w:line="200" w:lineRule="exact"/>
              <w:rPr>
                <w:rFonts w:ascii="宋体" w:hAnsi="宋体" w:cs="Arial"/>
                <w:b/>
                <w:bCs/>
                <w:sz w:val="15"/>
                <w:szCs w:val="15"/>
              </w:rPr>
            </w:pPr>
            <w:r>
              <w:rPr>
                <w:rFonts w:hint="eastAsia" w:cs="Arial"/>
                <w:b/>
                <w:bCs/>
                <w:sz w:val="15"/>
                <w:szCs w:val="15"/>
              </w:rPr>
              <w:t>社会保障和就业支出</w:t>
            </w:r>
          </w:p>
        </w:tc>
        <w:tc>
          <w:tcPr>
            <w:tcW w:w="1134" w:type="dxa"/>
            <w:tcBorders>
              <w:top w:val="nil"/>
              <w:left w:val="nil"/>
              <w:bottom w:val="single" w:color="auto" w:sz="4" w:space="0"/>
              <w:right w:val="nil"/>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324.37</w:t>
            </w:r>
          </w:p>
        </w:tc>
        <w:tc>
          <w:tcPr>
            <w:tcW w:w="1418" w:type="dxa"/>
            <w:tcBorders>
              <w:top w:val="nil"/>
              <w:left w:val="single" w:color="auto" w:sz="4" w:space="0"/>
              <w:bottom w:val="single" w:color="auto" w:sz="4" w:space="0"/>
              <w:right w:val="nil"/>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324.37</w:t>
            </w:r>
          </w:p>
        </w:tc>
        <w:tc>
          <w:tcPr>
            <w:tcW w:w="1134"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　</w:t>
            </w:r>
          </w:p>
        </w:tc>
        <w:tc>
          <w:tcPr>
            <w:tcW w:w="1280" w:type="dxa"/>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p>
        </w:tc>
        <w:tc>
          <w:tcPr>
            <w:tcW w:w="1130" w:type="dxa"/>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p>
        </w:tc>
        <w:tc>
          <w:tcPr>
            <w:tcW w:w="1641" w:type="dxa"/>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284" w:hRule="atLeast"/>
          <w:jc w:val="center"/>
        </w:trPr>
        <w:tc>
          <w:tcPr>
            <w:tcW w:w="1344" w:type="dxa"/>
            <w:tcBorders>
              <w:top w:val="nil"/>
              <w:left w:val="single" w:color="auto" w:sz="4" w:space="0"/>
              <w:bottom w:val="single" w:color="auto" w:sz="4" w:space="0"/>
              <w:right w:val="nil"/>
            </w:tcBorders>
            <w:shd w:val="clear" w:color="auto" w:fill="auto"/>
            <w:vAlign w:val="center"/>
          </w:tcPr>
          <w:p>
            <w:pPr>
              <w:widowControl/>
              <w:spacing w:line="200" w:lineRule="exact"/>
              <w:jc w:val="left"/>
              <w:rPr>
                <w:rFonts w:ascii="宋体" w:hAnsi="宋体" w:cs="Arial"/>
                <w:b/>
                <w:bCs/>
                <w:kern w:val="0"/>
                <w:sz w:val="15"/>
                <w:szCs w:val="15"/>
              </w:rPr>
            </w:pPr>
            <w:r>
              <w:rPr>
                <w:rFonts w:hint="eastAsia" w:ascii="宋体" w:hAnsi="宋体" w:cs="Arial"/>
                <w:b/>
                <w:bCs/>
                <w:kern w:val="0"/>
                <w:sz w:val="15"/>
                <w:szCs w:val="15"/>
              </w:rPr>
              <w:t>20805</w:t>
            </w:r>
          </w:p>
        </w:tc>
        <w:tc>
          <w:tcPr>
            <w:tcW w:w="4297" w:type="dxa"/>
            <w:gridSpan w:val="2"/>
            <w:tcBorders>
              <w:top w:val="nil"/>
              <w:left w:val="single" w:color="auto" w:sz="4" w:space="0"/>
              <w:bottom w:val="single" w:color="auto" w:sz="4" w:space="0"/>
              <w:right w:val="single" w:color="auto" w:sz="4" w:space="0"/>
            </w:tcBorders>
            <w:shd w:val="clear" w:color="auto" w:fill="auto"/>
            <w:vAlign w:val="center"/>
          </w:tcPr>
          <w:p>
            <w:pPr>
              <w:spacing w:line="200" w:lineRule="exact"/>
              <w:rPr>
                <w:rFonts w:ascii="宋体" w:hAnsi="宋体" w:cs="Arial"/>
                <w:b/>
                <w:bCs/>
                <w:sz w:val="15"/>
                <w:szCs w:val="15"/>
              </w:rPr>
            </w:pPr>
            <w:r>
              <w:rPr>
                <w:rFonts w:hint="eastAsia" w:cs="Arial"/>
                <w:b/>
                <w:bCs/>
                <w:sz w:val="15"/>
                <w:szCs w:val="15"/>
              </w:rPr>
              <w:t>行政事业单位离退休</w:t>
            </w:r>
          </w:p>
        </w:tc>
        <w:tc>
          <w:tcPr>
            <w:tcW w:w="1134" w:type="dxa"/>
            <w:tcBorders>
              <w:top w:val="nil"/>
              <w:left w:val="nil"/>
              <w:bottom w:val="single" w:color="auto" w:sz="4" w:space="0"/>
              <w:right w:val="nil"/>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324.37</w:t>
            </w:r>
          </w:p>
        </w:tc>
        <w:tc>
          <w:tcPr>
            <w:tcW w:w="1418" w:type="dxa"/>
            <w:tcBorders>
              <w:top w:val="nil"/>
              <w:left w:val="single" w:color="auto" w:sz="4" w:space="0"/>
              <w:bottom w:val="single" w:color="auto" w:sz="4" w:space="0"/>
              <w:right w:val="nil"/>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324.37</w:t>
            </w:r>
          </w:p>
        </w:tc>
        <w:tc>
          <w:tcPr>
            <w:tcW w:w="1134"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　</w:t>
            </w:r>
          </w:p>
        </w:tc>
        <w:tc>
          <w:tcPr>
            <w:tcW w:w="1280" w:type="dxa"/>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p>
        </w:tc>
        <w:tc>
          <w:tcPr>
            <w:tcW w:w="1130" w:type="dxa"/>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p>
        </w:tc>
        <w:tc>
          <w:tcPr>
            <w:tcW w:w="1641" w:type="dxa"/>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284" w:hRule="atLeast"/>
          <w:jc w:val="center"/>
        </w:trPr>
        <w:tc>
          <w:tcPr>
            <w:tcW w:w="1344" w:type="dxa"/>
            <w:tcBorders>
              <w:top w:val="nil"/>
              <w:left w:val="single" w:color="auto" w:sz="4" w:space="0"/>
              <w:bottom w:val="single" w:color="auto" w:sz="4" w:space="0"/>
              <w:right w:val="nil"/>
            </w:tcBorders>
            <w:shd w:val="clear" w:color="auto" w:fill="auto"/>
            <w:vAlign w:val="center"/>
          </w:tcPr>
          <w:p>
            <w:pPr>
              <w:widowControl/>
              <w:spacing w:line="200" w:lineRule="exact"/>
              <w:jc w:val="left"/>
              <w:rPr>
                <w:rFonts w:ascii="宋体" w:hAnsi="宋体" w:cs="Arial"/>
                <w:kern w:val="0"/>
                <w:sz w:val="15"/>
                <w:szCs w:val="15"/>
              </w:rPr>
            </w:pPr>
            <w:r>
              <w:rPr>
                <w:rFonts w:hint="eastAsia" w:ascii="宋体" w:hAnsi="宋体" w:cs="Arial"/>
                <w:kern w:val="0"/>
                <w:sz w:val="15"/>
                <w:szCs w:val="15"/>
              </w:rPr>
              <w:t>2080505</w:t>
            </w:r>
          </w:p>
        </w:tc>
        <w:tc>
          <w:tcPr>
            <w:tcW w:w="4297" w:type="dxa"/>
            <w:gridSpan w:val="2"/>
            <w:tcBorders>
              <w:top w:val="nil"/>
              <w:left w:val="single" w:color="auto" w:sz="4" w:space="0"/>
              <w:bottom w:val="single" w:color="auto" w:sz="4" w:space="0"/>
              <w:right w:val="single" w:color="auto" w:sz="4" w:space="0"/>
            </w:tcBorders>
            <w:shd w:val="clear" w:color="auto" w:fill="auto"/>
            <w:vAlign w:val="center"/>
          </w:tcPr>
          <w:p>
            <w:pPr>
              <w:spacing w:line="200" w:lineRule="exact"/>
              <w:rPr>
                <w:rFonts w:ascii="宋体" w:hAnsi="宋体" w:cs="Arial"/>
                <w:sz w:val="15"/>
                <w:szCs w:val="15"/>
              </w:rPr>
            </w:pPr>
            <w:r>
              <w:rPr>
                <w:rFonts w:hint="eastAsia" w:cs="Arial"/>
                <w:sz w:val="15"/>
                <w:szCs w:val="15"/>
              </w:rPr>
              <w:t xml:space="preserve">  机关事业单位基本养老保险缴费支出</w:t>
            </w:r>
          </w:p>
        </w:tc>
        <w:tc>
          <w:tcPr>
            <w:tcW w:w="1134" w:type="dxa"/>
            <w:tcBorders>
              <w:top w:val="nil"/>
              <w:left w:val="nil"/>
              <w:bottom w:val="single" w:color="auto" w:sz="4" w:space="0"/>
              <w:right w:val="nil"/>
            </w:tcBorders>
            <w:shd w:val="clear" w:color="auto" w:fill="auto"/>
            <w:vAlign w:val="center"/>
          </w:tcPr>
          <w:p>
            <w:pPr>
              <w:spacing w:line="200" w:lineRule="exact"/>
              <w:jc w:val="right"/>
              <w:rPr>
                <w:rFonts w:ascii="宋体" w:hAnsi="宋体" w:cs="Arial"/>
                <w:sz w:val="15"/>
                <w:szCs w:val="15"/>
              </w:rPr>
            </w:pPr>
            <w:r>
              <w:rPr>
                <w:rFonts w:hint="eastAsia" w:cs="Arial"/>
                <w:sz w:val="15"/>
                <w:szCs w:val="15"/>
              </w:rPr>
              <w:t>324.37</w:t>
            </w:r>
          </w:p>
        </w:tc>
        <w:tc>
          <w:tcPr>
            <w:tcW w:w="1418" w:type="dxa"/>
            <w:tcBorders>
              <w:top w:val="nil"/>
              <w:left w:val="single" w:color="auto" w:sz="4" w:space="0"/>
              <w:bottom w:val="single" w:color="auto" w:sz="4" w:space="0"/>
              <w:right w:val="nil"/>
            </w:tcBorders>
            <w:shd w:val="clear" w:color="auto" w:fill="auto"/>
            <w:vAlign w:val="center"/>
          </w:tcPr>
          <w:p>
            <w:pPr>
              <w:spacing w:line="200" w:lineRule="exact"/>
              <w:jc w:val="right"/>
              <w:rPr>
                <w:rFonts w:ascii="宋体" w:hAnsi="宋体" w:cs="Arial"/>
                <w:sz w:val="15"/>
                <w:szCs w:val="15"/>
              </w:rPr>
            </w:pPr>
            <w:r>
              <w:rPr>
                <w:rFonts w:hint="eastAsia" w:cs="Arial"/>
                <w:sz w:val="15"/>
                <w:szCs w:val="15"/>
              </w:rPr>
              <w:t>324.37</w:t>
            </w:r>
          </w:p>
        </w:tc>
        <w:tc>
          <w:tcPr>
            <w:tcW w:w="1134"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right"/>
              <w:rPr>
                <w:rFonts w:ascii="宋体" w:hAnsi="宋体" w:cs="Arial"/>
                <w:sz w:val="15"/>
                <w:szCs w:val="15"/>
              </w:rPr>
            </w:pPr>
            <w:r>
              <w:rPr>
                <w:rFonts w:hint="eastAsia" w:cs="Arial"/>
                <w:sz w:val="15"/>
                <w:szCs w:val="15"/>
              </w:rPr>
              <w:t>　</w:t>
            </w:r>
          </w:p>
        </w:tc>
        <w:tc>
          <w:tcPr>
            <w:tcW w:w="1280" w:type="dxa"/>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p>
        </w:tc>
        <w:tc>
          <w:tcPr>
            <w:tcW w:w="1130" w:type="dxa"/>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p>
        </w:tc>
        <w:tc>
          <w:tcPr>
            <w:tcW w:w="1641" w:type="dxa"/>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284" w:hRule="atLeast"/>
          <w:jc w:val="center"/>
        </w:trPr>
        <w:tc>
          <w:tcPr>
            <w:tcW w:w="1344" w:type="dxa"/>
            <w:tcBorders>
              <w:top w:val="nil"/>
              <w:left w:val="single" w:color="auto" w:sz="4" w:space="0"/>
              <w:bottom w:val="single" w:color="auto" w:sz="4" w:space="0"/>
              <w:right w:val="nil"/>
            </w:tcBorders>
            <w:shd w:val="clear" w:color="auto" w:fill="auto"/>
            <w:vAlign w:val="center"/>
          </w:tcPr>
          <w:p>
            <w:pPr>
              <w:widowControl/>
              <w:spacing w:line="200" w:lineRule="exact"/>
              <w:jc w:val="left"/>
              <w:rPr>
                <w:rFonts w:ascii="宋体" w:hAnsi="宋体" w:cs="Arial"/>
                <w:b/>
                <w:bCs/>
                <w:kern w:val="0"/>
                <w:sz w:val="15"/>
                <w:szCs w:val="15"/>
              </w:rPr>
            </w:pPr>
            <w:r>
              <w:rPr>
                <w:rFonts w:hint="eastAsia" w:ascii="宋体" w:hAnsi="宋体" w:cs="Arial"/>
                <w:b/>
                <w:bCs/>
                <w:kern w:val="0"/>
                <w:sz w:val="15"/>
                <w:szCs w:val="15"/>
              </w:rPr>
              <w:t>221</w:t>
            </w:r>
          </w:p>
        </w:tc>
        <w:tc>
          <w:tcPr>
            <w:tcW w:w="4297" w:type="dxa"/>
            <w:gridSpan w:val="2"/>
            <w:tcBorders>
              <w:top w:val="nil"/>
              <w:left w:val="single" w:color="auto" w:sz="4" w:space="0"/>
              <w:bottom w:val="single" w:color="auto" w:sz="4" w:space="0"/>
              <w:right w:val="single" w:color="auto" w:sz="4" w:space="0"/>
            </w:tcBorders>
            <w:shd w:val="clear" w:color="auto" w:fill="auto"/>
            <w:vAlign w:val="center"/>
          </w:tcPr>
          <w:p>
            <w:pPr>
              <w:spacing w:line="200" w:lineRule="exact"/>
              <w:rPr>
                <w:rFonts w:ascii="宋体" w:hAnsi="宋体" w:cs="Arial"/>
                <w:b/>
                <w:bCs/>
                <w:sz w:val="15"/>
                <w:szCs w:val="15"/>
              </w:rPr>
            </w:pPr>
            <w:r>
              <w:rPr>
                <w:rFonts w:hint="eastAsia" w:cs="Arial"/>
                <w:b/>
                <w:bCs/>
                <w:sz w:val="15"/>
                <w:szCs w:val="15"/>
              </w:rPr>
              <w:t>住房保障支出</w:t>
            </w:r>
          </w:p>
        </w:tc>
        <w:tc>
          <w:tcPr>
            <w:tcW w:w="1134" w:type="dxa"/>
            <w:tcBorders>
              <w:top w:val="nil"/>
              <w:left w:val="nil"/>
              <w:bottom w:val="single" w:color="auto" w:sz="4" w:space="0"/>
              <w:right w:val="nil"/>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279.98</w:t>
            </w:r>
          </w:p>
        </w:tc>
        <w:tc>
          <w:tcPr>
            <w:tcW w:w="1418" w:type="dxa"/>
            <w:tcBorders>
              <w:top w:val="nil"/>
              <w:left w:val="single" w:color="auto" w:sz="4" w:space="0"/>
              <w:bottom w:val="single" w:color="auto" w:sz="4" w:space="0"/>
              <w:right w:val="nil"/>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279.98</w:t>
            </w:r>
          </w:p>
        </w:tc>
        <w:tc>
          <w:tcPr>
            <w:tcW w:w="1134"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　</w:t>
            </w:r>
          </w:p>
        </w:tc>
        <w:tc>
          <w:tcPr>
            <w:tcW w:w="1280" w:type="dxa"/>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p>
        </w:tc>
        <w:tc>
          <w:tcPr>
            <w:tcW w:w="1130" w:type="dxa"/>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p>
        </w:tc>
        <w:tc>
          <w:tcPr>
            <w:tcW w:w="1641" w:type="dxa"/>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284" w:hRule="atLeast"/>
          <w:jc w:val="center"/>
        </w:trPr>
        <w:tc>
          <w:tcPr>
            <w:tcW w:w="1344" w:type="dxa"/>
            <w:tcBorders>
              <w:top w:val="nil"/>
              <w:left w:val="single" w:color="auto" w:sz="4" w:space="0"/>
              <w:bottom w:val="single" w:color="auto" w:sz="4" w:space="0"/>
              <w:right w:val="nil"/>
            </w:tcBorders>
            <w:shd w:val="clear" w:color="auto" w:fill="auto"/>
            <w:vAlign w:val="center"/>
          </w:tcPr>
          <w:p>
            <w:pPr>
              <w:widowControl/>
              <w:spacing w:line="200" w:lineRule="exact"/>
              <w:jc w:val="left"/>
              <w:rPr>
                <w:rFonts w:ascii="宋体" w:hAnsi="宋体" w:cs="Arial"/>
                <w:b/>
                <w:bCs/>
                <w:kern w:val="0"/>
                <w:sz w:val="15"/>
                <w:szCs w:val="15"/>
              </w:rPr>
            </w:pPr>
            <w:r>
              <w:rPr>
                <w:rFonts w:hint="eastAsia" w:ascii="宋体" w:hAnsi="宋体" w:cs="Arial"/>
                <w:b/>
                <w:bCs/>
                <w:kern w:val="0"/>
                <w:sz w:val="15"/>
                <w:szCs w:val="15"/>
              </w:rPr>
              <w:t>22102</w:t>
            </w:r>
          </w:p>
        </w:tc>
        <w:tc>
          <w:tcPr>
            <w:tcW w:w="4297" w:type="dxa"/>
            <w:gridSpan w:val="2"/>
            <w:tcBorders>
              <w:top w:val="nil"/>
              <w:left w:val="single" w:color="auto" w:sz="4" w:space="0"/>
              <w:bottom w:val="single" w:color="auto" w:sz="4" w:space="0"/>
              <w:right w:val="single" w:color="auto" w:sz="4" w:space="0"/>
            </w:tcBorders>
            <w:shd w:val="clear" w:color="auto" w:fill="auto"/>
            <w:vAlign w:val="center"/>
          </w:tcPr>
          <w:p>
            <w:pPr>
              <w:spacing w:line="200" w:lineRule="exact"/>
              <w:rPr>
                <w:rFonts w:ascii="宋体" w:hAnsi="宋体" w:cs="Arial"/>
                <w:b/>
                <w:bCs/>
                <w:sz w:val="15"/>
                <w:szCs w:val="15"/>
              </w:rPr>
            </w:pPr>
            <w:r>
              <w:rPr>
                <w:rFonts w:hint="eastAsia" w:cs="Arial"/>
                <w:b/>
                <w:bCs/>
                <w:sz w:val="15"/>
                <w:szCs w:val="15"/>
              </w:rPr>
              <w:t>住房改革支出</w:t>
            </w:r>
          </w:p>
        </w:tc>
        <w:tc>
          <w:tcPr>
            <w:tcW w:w="1134" w:type="dxa"/>
            <w:tcBorders>
              <w:top w:val="nil"/>
              <w:left w:val="nil"/>
              <w:bottom w:val="single" w:color="auto" w:sz="4" w:space="0"/>
              <w:right w:val="nil"/>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279.98</w:t>
            </w:r>
          </w:p>
        </w:tc>
        <w:tc>
          <w:tcPr>
            <w:tcW w:w="1418" w:type="dxa"/>
            <w:tcBorders>
              <w:top w:val="nil"/>
              <w:left w:val="single" w:color="auto" w:sz="4" w:space="0"/>
              <w:bottom w:val="single" w:color="auto" w:sz="4" w:space="0"/>
              <w:right w:val="nil"/>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279.98</w:t>
            </w:r>
          </w:p>
        </w:tc>
        <w:tc>
          <w:tcPr>
            <w:tcW w:w="1134"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right"/>
              <w:rPr>
                <w:rFonts w:ascii="宋体" w:hAnsi="宋体" w:cs="Arial"/>
                <w:b/>
                <w:bCs/>
                <w:sz w:val="15"/>
                <w:szCs w:val="15"/>
              </w:rPr>
            </w:pPr>
            <w:r>
              <w:rPr>
                <w:rFonts w:hint="eastAsia" w:cs="Arial"/>
                <w:b/>
                <w:bCs/>
                <w:sz w:val="15"/>
                <w:szCs w:val="15"/>
              </w:rPr>
              <w:t>　</w:t>
            </w:r>
          </w:p>
        </w:tc>
        <w:tc>
          <w:tcPr>
            <w:tcW w:w="1280" w:type="dxa"/>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p>
        </w:tc>
        <w:tc>
          <w:tcPr>
            <w:tcW w:w="1130" w:type="dxa"/>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p>
        </w:tc>
        <w:tc>
          <w:tcPr>
            <w:tcW w:w="1641" w:type="dxa"/>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284" w:hRule="atLeast"/>
          <w:jc w:val="center"/>
        </w:trPr>
        <w:tc>
          <w:tcPr>
            <w:tcW w:w="1344" w:type="dxa"/>
            <w:tcBorders>
              <w:top w:val="nil"/>
              <w:left w:val="single" w:color="auto" w:sz="4" w:space="0"/>
              <w:bottom w:val="single" w:color="auto" w:sz="4" w:space="0"/>
              <w:right w:val="nil"/>
            </w:tcBorders>
            <w:shd w:val="clear" w:color="auto" w:fill="auto"/>
            <w:vAlign w:val="center"/>
          </w:tcPr>
          <w:p>
            <w:pPr>
              <w:widowControl/>
              <w:spacing w:line="200" w:lineRule="exact"/>
              <w:jc w:val="left"/>
              <w:rPr>
                <w:rFonts w:ascii="宋体" w:hAnsi="宋体" w:cs="Arial"/>
                <w:kern w:val="0"/>
                <w:sz w:val="15"/>
                <w:szCs w:val="15"/>
              </w:rPr>
            </w:pPr>
            <w:r>
              <w:rPr>
                <w:rFonts w:hint="eastAsia" w:ascii="宋体" w:hAnsi="宋体" w:cs="Arial"/>
                <w:kern w:val="0"/>
                <w:sz w:val="15"/>
                <w:szCs w:val="15"/>
              </w:rPr>
              <w:t>2210201</w:t>
            </w:r>
          </w:p>
        </w:tc>
        <w:tc>
          <w:tcPr>
            <w:tcW w:w="4297" w:type="dxa"/>
            <w:gridSpan w:val="2"/>
            <w:tcBorders>
              <w:top w:val="nil"/>
              <w:left w:val="single" w:color="auto" w:sz="4" w:space="0"/>
              <w:bottom w:val="single" w:color="auto" w:sz="4" w:space="0"/>
              <w:right w:val="single" w:color="auto" w:sz="4" w:space="0"/>
            </w:tcBorders>
            <w:shd w:val="clear" w:color="auto" w:fill="auto"/>
            <w:vAlign w:val="center"/>
          </w:tcPr>
          <w:p>
            <w:pPr>
              <w:spacing w:line="200" w:lineRule="exact"/>
              <w:rPr>
                <w:rFonts w:ascii="宋体" w:hAnsi="宋体" w:cs="Arial"/>
                <w:sz w:val="15"/>
                <w:szCs w:val="15"/>
              </w:rPr>
            </w:pPr>
            <w:r>
              <w:rPr>
                <w:rFonts w:hint="eastAsia" w:cs="Arial"/>
                <w:sz w:val="15"/>
                <w:szCs w:val="15"/>
              </w:rPr>
              <w:t xml:space="preserve">  住房公积金</w:t>
            </w:r>
          </w:p>
        </w:tc>
        <w:tc>
          <w:tcPr>
            <w:tcW w:w="1134" w:type="dxa"/>
            <w:tcBorders>
              <w:top w:val="nil"/>
              <w:left w:val="nil"/>
              <w:bottom w:val="single" w:color="auto" w:sz="4" w:space="0"/>
              <w:right w:val="nil"/>
            </w:tcBorders>
            <w:shd w:val="clear" w:color="auto" w:fill="auto"/>
            <w:vAlign w:val="center"/>
          </w:tcPr>
          <w:p>
            <w:pPr>
              <w:spacing w:line="200" w:lineRule="exact"/>
              <w:jc w:val="right"/>
              <w:rPr>
                <w:rFonts w:ascii="宋体" w:hAnsi="宋体" w:cs="Arial"/>
                <w:sz w:val="15"/>
                <w:szCs w:val="15"/>
              </w:rPr>
            </w:pPr>
            <w:r>
              <w:rPr>
                <w:rFonts w:hint="eastAsia" w:cs="Arial"/>
                <w:sz w:val="15"/>
                <w:szCs w:val="15"/>
              </w:rPr>
              <w:t>279.98</w:t>
            </w:r>
          </w:p>
        </w:tc>
        <w:tc>
          <w:tcPr>
            <w:tcW w:w="1418" w:type="dxa"/>
            <w:tcBorders>
              <w:top w:val="nil"/>
              <w:left w:val="single" w:color="auto" w:sz="4" w:space="0"/>
              <w:bottom w:val="single" w:color="auto" w:sz="4" w:space="0"/>
              <w:right w:val="nil"/>
            </w:tcBorders>
            <w:shd w:val="clear" w:color="auto" w:fill="auto"/>
            <w:vAlign w:val="center"/>
          </w:tcPr>
          <w:p>
            <w:pPr>
              <w:spacing w:line="200" w:lineRule="exact"/>
              <w:jc w:val="right"/>
              <w:rPr>
                <w:rFonts w:ascii="宋体" w:hAnsi="宋体" w:cs="Arial"/>
                <w:sz w:val="15"/>
                <w:szCs w:val="15"/>
              </w:rPr>
            </w:pPr>
            <w:r>
              <w:rPr>
                <w:rFonts w:hint="eastAsia" w:cs="Arial"/>
                <w:sz w:val="15"/>
                <w:szCs w:val="15"/>
              </w:rPr>
              <w:t>279.98</w:t>
            </w:r>
          </w:p>
        </w:tc>
        <w:tc>
          <w:tcPr>
            <w:tcW w:w="1134" w:type="dxa"/>
            <w:tcBorders>
              <w:top w:val="nil"/>
              <w:left w:val="single" w:color="auto" w:sz="4" w:space="0"/>
              <w:bottom w:val="single" w:color="auto" w:sz="4" w:space="0"/>
              <w:right w:val="single" w:color="auto" w:sz="4" w:space="0"/>
            </w:tcBorders>
            <w:shd w:val="clear" w:color="auto" w:fill="auto"/>
            <w:vAlign w:val="center"/>
          </w:tcPr>
          <w:p>
            <w:pPr>
              <w:spacing w:line="200" w:lineRule="exact"/>
              <w:jc w:val="right"/>
              <w:rPr>
                <w:rFonts w:ascii="宋体" w:hAnsi="宋体" w:cs="Arial"/>
                <w:sz w:val="15"/>
                <w:szCs w:val="15"/>
              </w:rPr>
            </w:pPr>
            <w:r>
              <w:rPr>
                <w:rFonts w:hint="eastAsia" w:cs="Arial"/>
                <w:sz w:val="15"/>
                <w:szCs w:val="15"/>
              </w:rPr>
              <w:t>　</w:t>
            </w:r>
          </w:p>
        </w:tc>
        <w:tc>
          <w:tcPr>
            <w:tcW w:w="1280" w:type="dxa"/>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p>
        </w:tc>
        <w:tc>
          <w:tcPr>
            <w:tcW w:w="1130" w:type="dxa"/>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15"/>
                <w:szCs w:val="15"/>
              </w:rPr>
            </w:pPr>
          </w:p>
        </w:tc>
        <w:tc>
          <w:tcPr>
            <w:tcW w:w="1641" w:type="dxa"/>
            <w:tcBorders>
              <w:top w:val="nil"/>
              <w:left w:val="nil"/>
              <w:bottom w:val="single" w:color="auto" w:sz="4" w:space="0"/>
              <w:right w:val="single" w:color="auto" w:sz="4" w:space="0"/>
            </w:tcBorders>
            <w:shd w:val="clear" w:color="auto" w:fill="auto"/>
            <w:vAlign w:val="center"/>
          </w:tcPr>
          <w:p>
            <w:pPr>
              <w:widowControl/>
              <w:spacing w:line="200" w:lineRule="exact"/>
              <w:jc w:val="right"/>
              <w:rPr>
                <w:rFonts w:ascii="仿宋_GB2312" w:hAnsi="宋体" w:eastAsia="仿宋_GB2312" w:cs="宋体"/>
                <w:kern w:val="0"/>
                <w:sz w:val="22"/>
                <w:szCs w:val="22"/>
              </w:rPr>
            </w:pPr>
          </w:p>
        </w:tc>
      </w:tr>
    </w:tbl>
    <w:p>
      <w:pPr>
        <w:ind w:firstLine="108" w:firstLineChars="50"/>
        <w:rPr>
          <w:rFonts w:ascii="仿宋_GB2312" w:hAnsi="宋体" w:eastAsia="仿宋_GB2312"/>
          <w:sz w:val="22"/>
          <w:szCs w:val="22"/>
        </w:rPr>
      </w:pPr>
      <w:r>
        <w:rPr>
          <w:rFonts w:hint="eastAsia" w:ascii="仿宋_GB2312" w:hAnsi="宋体" w:eastAsia="仿宋_GB2312"/>
          <w:sz w:val="22"/>
          <w:szCs w:val="22"/>
        </w:rPr>
        <w:t>注：本表反映部门本年度各项支出情况。</w:t>
      </w:r>
    </w:p>
    <w:p>
      <w:pPr>
        <w:rPr>
          <w:rFonts w:ascii="仿宋_GB2312" w:hAnsi="宋体" w:eastAsia="仿宋_GB2312"/>
          <w:sz w:val="22"/>
          <w:szCs w:val="22"/>
        </w:rPr>
        <w:sectPr>
          <w:pgSz w:w="16838" w:h="11906" w:orient="landscape"/>
          <w:pgMar w:top="1531" w:right="1701" w:bottom="1531" w:left="1701" w:header="0" w:footer="1418" w:gutter="0"/>
          <w:cols w:space="720" w:num="1"/>
          <w:docGrid w:type="linesAndChars" w:linePitch="610" w:charSpace="-849"/>
        </w:sectPr>
      </w:pPr>
    </w:p>
    <w:p>
      <w:pPr>
        <w:jc w:val="center"/>
        <w:rPr>
          <w:rFonts w:ascii="方正小标宋简体" w:eastAsia="方正小标宋简体"/>
          <w:sz w:val="44"/>
          <w:szCs w:val="44"/>
        </w:rPr>
      </w:pPr>
      <w:r>
        <w:rPr>
          <w:rFonts w:hint="eastAsia" w:ascii="方正小标宋简体" w:eastAsia="方正小标宋简体"/>
          <w:sz w:val="44"/>
          <w:szCs w:val="44"/>
        </w:rPr>
        <w:t>财政拨款收入支出决算总表</w:t>
      </w:r>
    </w:p>
    <w:p>
      <w:pPr>
        <w:spacing w:line="400" w:lineRule="exact"/>
        <w:jc w:val="right"/>
        <w:rPr>
          <w:rFonts w:ascii="楷体_GB2312" w:eastAsia="楷体_GB2312"/>
          <w:sz w:val="28"/>
          <w:szCs w:val="28"/>
        </w:rPr>
      </w:pPr>
      <w:r>
        <w:rPr>
          <w:rFonts w:hint="eastAsia" w:ascii="楷体_GB2312" w:eastAsia="楷体_GB2312"/>
          <w:sz w:val="28"/>
          <w:szCs w:val="28"/>
        </w:rPr>
        <w:t>公开04表</w:t>
      </w:r>
    </w:p>
    <w:p>
      <w:pPr>
        <w:spacing w:line="400" w:lineRule="exact"/>
        <w:ind w:firstLine="138" w:firstLineChars="50"/>
        <w:jc w:val="left"/>
        <w:rPr>
          <w:rFonts w:ascii="楷体_GB2312" w:eastAsia="楷体_GB2312"/>
          <w:sz w:val="28"/>
          <w:szCs w:val="28"/>
        </w:rPr>
      </w:pPr>
      <w:r>
        <w:rPr>
          <w:rFonts w:hint="eastAsia" w:ascii="楷体_GB2312" w:eastAsia="楷体_GB2312"/>
          <w:sz w:val="28"/>
          <w:szCs w:val="28"/>
        </w:rPr>
        <w:t>部门：中共青岛市委党校                                                                 单位：万元</w:t>
      </w:r>
    </w:p>
    <w:tbl>
      <w:tblPr>
        <w:tblStyle w:val="5"/>
        <w:tblW w:w="133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022"/>
        <w:gridCol w:w="540"/>
        <w:gridCol w:w="1512"/>
        <w:gridCol w:w="2628"/>
        <w:gridCol w:w="540"/>
        <w:gridCol w:w="1699"/>
        <w:gridCol w:w="1700"/>
        <w:gridCol w:w="1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jc w:val="center"/>
        </w:trPr>
        <w:tc>
          <w:tcPr>
            <w:tcW w:w="5074" w:type="dxa"/>
            <w:gridSpan w:val="3"/>
            <w:tcBorders>
              <w:top w:val="single" w:color="auto" w:sz="4" w:space="0"/>
              <w:bottom w:val="single" w:color="auto" w:sz="4" w:space="0"/>
              <w:right w:val="nil"/>
            </w:tcBorders>
            <w:shd w:val="clear" w:color="auto" w:fill="FFFFFF"/>
            <w:noWrap/>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收 入</w:t>
            </w:r>
          </w:p>
        </w:tc>
        <w:tc>
          <w:tcPr>
            <w:tcW w:w="8267" w:type="dxa"/>
            <w:gridSpan w:val="5"/>
            <w:tcBorders>
              <w:top w:val="single" w:color="auto" w:sz="4" w:space="0"/>
              <w:left w:val="nil"/>
              <w:bottom w:val="single" w:color="auto" w:sz="4" w:space="0"/>
            </w:tcBorders>
            <w:shd w:val="clear" w:color="auto" w:fill="FFFFFF"/>
            <w:noWrap/>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支 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jc w:val="center"/>
        </w:trPr>
        <w:tc>
          <w:tcPr>
            <w:tcW w:w="3022" w:type="dxa"/>
            <w:tcBorders>
              <w:top w:val="single" w:color="auto" w:sz="4" w:space="0"/>
              <w:bottom w:val="single" w:color="auto" w:sz="4" w:space="0"/>
              <w:right w:val="single" w:color="auto" w:sz="4" w:space="0"/>
            </w:tcBorders>
            <w:shd w:val="clear" w:color="auto" w:fill="FFFFFF"/>
            <w:noWrap/>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项    目</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行次</w:t>
            </w:r>
          </w:p>
        </w:tc>
        <w:tc>
          <w:tcPr>
            <w:tcW w:w="151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决算数</w:t>
            </w:r>
          </w:p>
        </w:tc>
        <w:tc>
          <w:tcPr>
            <w:tcW w:w="26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项    目</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行次</w:t>
            </w:r>
          </w:p>
        </w:tc>
        <w:tc>
          <w:tcPr>
            <w:tcW w:w="169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17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一般公共预算</w:t>
            </w:r>
          </w:p>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财政拨款</w:t>
            </w:r>
          </w:p>
        </w:tc>
        <w:tc>
          <w:tcPr>
            <w:tcW w:w="1700" w:type="dxa"/>
            <w:tcBorders>
              <w:top w:val="single" w:color="auto" w:sz="4" w:space="0"/>
              <w:left w:val="single" w:color="auto" w:sz="4" w:space="0"/>
              <w:bottom w:val="single" w:color="auto" w:sz="4"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政府性基金</w:t>
            </w:r>
          </w:p>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预算财政拨款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3022" w:type="dxa"/>
            <w:tcBorders>
              <w:top w:val="single" w:color="auto" w:sz="4" w:space="0"/>
              <w:bottom w:val="single" w:color="auto" w:sz="4" w:space="0"/>
              <w:right w:val="single" w:color="auto" w:sz="4" w:space="0"/>
            </w:tcBorders>
            <w:shd w:val="clear" w:color="auto" w:fill="auto"/>
            <w:noWrap/>
            <w:vAlign w:val="center"/>
          </w:tcPr>
          <w:p>
            <w:pPr>
              <w:widowControl/>
              <w:spacing w:line="300" w:lineRule="exact"/>
              <w:ind w:firstLine="1080" w:firstLineChars="500"/>
              <w:rPr>
                <w:rFonts w:ascii="仿宋_GB2312" w:hAnsi="宋体" w:eastAsia="仿宋_GB2312" w:cs="宋体"/>
                <w:kern w:val="0"/>
                <w:sz w:val="22"/>
                <w:szCs w:val="22"/>
              </w:rPr>
            </w:pPr>
            <w:r>
              <w:rPr>
                <w:rFonts w:hint="eastAsia" w:ascii="仿宋_GB2312" w:hAnsi="宋体" w:eastAsia="仿宋_GB2312" w:cs="宋体"/>
                <w:kern w:val="0"/>
                <w:sz w:val="22"/>
                <w:szCs w:val="22"/>
              </w:rPr>
              <w:t>栏   次</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300" w:lineRule="exact"/>
              <w:jc w:val="center"/>
              <w:rPr>
                <w:rFonts w:ascii="仿宋_GB2312" w:hAnsi="宋体" w:eastAsia="仿宋_GB2312" w:cs="宋体"/>
                <w:kern w:val="0"/>
                <w:sz w:val="22"/>
                <w:szCs w:val="22"/>
              </w:rPr>
            </w:pP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w:t>
            </w:r>
          </w:p>
        </w:tc>
        <w:tc>
          <w:tcPr>
            <w:tcW w:w="26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栏  次</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300" w:lineRule="exact"/>
              <w:jc w:val="center"/>
              <w:rPr>
                <w:rFonts w:ascii="仿宋_GB2312" w:hAnsi="宋体" w:eastAsia="仿宋_GB2312" w:cs="宋体"/>
                <w:kern w:val="0"/>
                <w:sz w:val="22"/>
                <w:szCs w:val="22"/>
              </w:rPr>
            </w:pPr>
          </w:p>
        </w:tc>
        <w:tc>
          <w:tcPr>
            <w:tcW w:w="169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w:t>
            </w:r>
          </w:p>
        </w:tc>
        <w:tc>
          <w:tcPr>
            <w:tcW w:w="1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3</w:t>
            </w:r>
          </w:p>
        </w:tc>
        <w:tc>
          <w:tcPr>
            <w:tcW w:w="1700" w:type="dxa"/>
            <w:tcBorders>
              <w:top w:val="single" w:color="auto" w:sz="4" w:space="0"/>
              <w:left w:val="single" w:color="auto" w:sz="4" w:space="0"/>
              <w:bottom w:val="single" w:color="auto" w:sz="4" w:space="0"/>
            </w:tcBorders>
            <w:shd w:val="clear" w:color="auto" w:fill="auto"/>
            <w:noWrap/>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3022" w:type="dxa"/>
            <w:tcBorders>
              <w:top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一、一般公共预算财政拨款</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11,676.85</w:t>
            </w:r>
          </w:p>
        </w:tc>
        <w:tc>
          <w:tcPr>
            <w:tcW w:w="26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一、一般公共服务支出</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15</w:t>
            </w:r>
          </w:p>
        </w:tc>
        <w:tc>
          <w:tcPr>
            <w:tcW w:w="169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3,601.82</w:t>
            </w:r>
          </w:p>
        </w:tc>
        <w:tc>
          <w:tcPr>
            <w:tcW w:w="1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3,601.82　</w:t>
            </w:r>
          </w:p>
        </w:tc>
        <w:tc>
          <w:tcPr>
            <w:tcW w:w="1700" w:type="dxa"/>
            <w:tcBorders>
              <w:top w:val="single" w:color="auto" w:sz="4" w:space="0"/>
              <w:left w:val="single" w:color="auto" w:sz="4" w:space="0"/>
              <w:bottom w:val="single" w:color="auto" w:sz="4" w:space="0"/>
            </w:tcBorders>
            <w:shd w:val="clear" w:color="auto" w:fill="auto"/>
            <w:noWrap/>
            <w:vAlign w:val="center"/>
          </w:tcPr>
          <w:p>
            <w:pPr>
              <w:widowControl/>
              <w:spacing w:line="24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3022" w:type="dxa"/>
            <w:tcBorders>
              <w:top w:val="single" w:color="auto" w:sz="4" w:space="0"/>
              <w:bottom w:val="single" w:color="auto" w:sz="4" w:space="0"/>
              <w:right w:val="single" w:color="auto" w:sz="4" w:space="0"/>
            </w:tcBorders>
            <w:shd w:val="clear" w:color="auto" w:fill="FFFFFF"/>
            <w:noWrap/>
            <w:vAlign w:val="center"/>
          </w:tcPr>
          <w:p>
            <w:pPr>
              <w:widowControl/>
              <w:spacing w:line="24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二、政府性基金预算财政拨款</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6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二、教育支出</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16</w:t>
            </w:r>
          </w:p>
        </w:tc>
        <w:tc>
          <w:tcPr>
            <w:tcW w:w="169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7,468.02　</w:t>
            </w:r>
          </w:p>
        </w:tc>
        <w:tc>
          <w:tcPr>
            <w:tcW w:w="1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7,468.02　</w:t>
            </w:r>
          </w:p>
        </w:tc>
        <w:tc>
          <w:tcPr>
            <w:tcW w:w="1700" w:type="dxa"/>
            <w:tcBorders>
              <w:top w:val="single" w:color="auto" w:sz="4" w:space="0"/>
              <w:left w:val="single" w:color="auto" w:sz="4" w:space="0"/>
              <w:bottom w:val="single" w:color="auto" w:sz="4" w:space="0"/>
            </w:tcBorders>
            <w:shd w:val="clear" w:color="auto" w:fill="auto"/>
            <w:noWrap/>
            <w:vAlign w:val="center"/>
          </w:tcPr>
          <w:p>
            <w:pPr>
              <w:widowControl/>
              <w:spacing w:line="24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3022" w:type="dxa"/>
            <w:tcBorders>
              <w:top w:val="single" w:color="auto" w:sz="4" w:space="0"/>
              <w:bottom w:val="single" w:color="auto" w:sz="4" w:space="0"/>
              <w:right w:val="single" w:color="auto" w:sz="4" w:space="0"/>
            </w:tcBorders>
            <w:shd w:val="clear" w:color="auto" w:fill="FFFFFF"/>
            <w:noWrap/>
            <w:vAlign w:val="center"/>
          </w:tcPr>
          <w:p>
            <w:pPr>
              <w:widowControl/>
              <w:spacing w:line="24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3</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6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三、科学技术支出</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17</w:t>
            </w:r>
          </w:p>
        </w:tc>
        <w:tc>
          <w:tcPr>
            <w:tcW w:w="169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2.66</w:t>
            </w:r>
          </w:p>
        </w:tc>
        <w:tc>
          <w:tcPr>
            <w:tcW w:w="1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2.66</w:t>
            </w:r>
          </w:p>
        </w:tc>
        <w:tc>
          <w:tcPr>
            <w:tcW w:w="1700" w:type="dxa"/>
            <w:tcBorders>
              <w:top w:val="single" w:color="auto" w:sz="4" w:space="0"/>
              <w:left w:val="single" w:color="auto" w:sz="4" w:space="0"/>
              <w:bottom w:val="single" w:color="auto" w:sz="4" w:space="0"/>
            </w:tcBorders>
            <w:shd w:val="clear" w:color="auto" w:fill="auto"/>
            <w:noWrap/>
            <w:vAlign w:val="center"/>
          </w:tcPr>
          <w:p>
            <w:pPr>
              <w:widowControl/>
              <w:spacing w:line="24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3022" w:type="dxa"/>
            <w:tcBorders>
              <w:top w:val="single" w:color="auto" w:sz="4" w:space="0"/>
              <w:bottom w:val="single" w:color="auto" w:sz="4" w:space="0"/>
              <w:right w:val="single" w:color="auto" w:sz="4" w:space="0"/>
            </w:tcBorders>
            <w:shd w:val="clear" w:color="auto" w:fill="FFFFFF"/>
            <w:noWrap/>
            <w:vAlign w:val="center"/>
          </w:tcPr>
          <w:p>
            <w:pPr>
              <w:widowControl/>
              <w:spacing w:line="24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4</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6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四、社会保障和就业支出</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18</w:t>
            </w:r>
          </w:p>
        </w:tc>
        <w:tc>
          <w:tcPr>
            <w:tcW w:w="169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324.37</w:t>
            </w:r>
            <w:r>
              <w:rPr>
                <w:rFonts w:hint="eastAsia" w:ascii="仿宋_GB2312" w:hAnsi="宋体" w:eastAsia="仿宋_GB2312" w:cs="宋体"/>
                <w:kern w:val="0"/>
                <w:sz w:val="22"/>
                <w:szCs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324.37</w:t>
            </w:r>
          </w:p>
        </w:tc>
        <w:tc>
          <w:tcPr>
            <w:tcW w:w="1700" w:type="dxa"/>
            <w:tcBorders>
              <w:top w:val="single" w:color="auto" w:sz="4" w:space="0"/>
              <w:left w:val="single" w:color="auto" w:sz="4" w:space="0"/>
              <w:bottom w:val="single" w:color="auto" w:sz="4" w:space="0"/>
            </w:tcBorders>
            <w:shd w:val="clear" w:color="auto" w:fill="auto"/>
            <w:noWrap/>
            <w:vAlign w:val="center"/>
          </w:tcPr>
          <w:p>
            <w:pPr>
              <w:widowControl/>
              <w:spacing w:line="24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3022" w:type="dxa"/>
            <w:tcBorders>
              <w:top w:val="single" w:color="auto" w:sz="4" w:space="0"/>
              <w:bottom w:val="single" w:color="auto" w:sz="4" w:space="0"/>
              <w:right w:val="single" w:color="auto" w:sz="4" w:space="0"/>
            </w:tcBorders>
            <w:shd w:val="clear" w:color="auto" w:fill="FFFFFF"/>
            <w:noWrap/>
            <w:vAlign w:val="center"/>
          </w:tcPr>
          <w:p>
            <w:pPr>
              <w:widowControl/>
              <w:spacing w:line="24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5</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6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五、住房保障支出</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19</w:t>
            </w:r>
          </w:p>
        </w:tc>
        <w:tc>
          <w:tcPr>
            <w:tcW w:w="169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279.98</w:t>
            </w:r>
          </w:p>
        </w:tc>
        <w:tc>
          <w:tcPr>
            <w:tcW w:w="1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ascii="仿宋_GB2312" w:hAnsi="宋体" w:eastAsia="仿宋_GB2312" w:cs="宋体"/>
                <w:kern w:val="0"/>
                <w:sz w:val="22"/>
                <w:szCs w:val="22"/>
              </w:rPr>
              <w:t>279.98</w:t>
            </w:r>
          </w:p>
        </w:tc>
        <w:tc>
          <w:tcPr>
            <w:tcW w:w="1700" w:type="dxa"/>
            <w:tcBorders>
              <w:top w:val="single" w:color="auto" w:sz="4" w:space="0"/>
              <w:left w:val="single" w:color="auto" w:sz="4" w:space="0"/>
              <w:bottom w:val="single" w:color="auto" w:sz="4" w:space="0"/>
            </w:tcBorders>
            <w:shd w:val="clear" w:color="auto" w:fill="auto"/>
            <w:noWrap/>
            <w:vAlign w:val="center"/>
          </w:tcPr>
          <w:p>
            <w:pPr>
              <w:widowControl/>
              <w:spacing w:line="24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3022" w:type="dxa"/>
            <w:tcBorders>
              <w:top w:val="single" w:color="auto" w:sz="4" w:space="0"/>
              <w:bottom w:val="single" w:color="auto" w:sz="4" w:space="0"/>
              <w:right w:val="single" w:color="auto" w:sz="4" w:space="0"/>
            </w:tcBorders>
            <w:shd w:val="clear" w:color="auto" w:fill="FFFFFF"/>
            <w:noWrap/>
            <w:vAlign w:val="center"/>
          </w:tcPr>
          <w:p>
            <w:pPr>
              <w:widowControl/>
              <w:spacing w:line="24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6</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6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left"/>
              <w:rPr>
                <w:rFonts w:ascii="仿宋_GB2312" w:hAnsi="宋体" w:eastAsia="仿宋_GB2312" w:cs="宋体"/>
                <w:kern w:val="0"/>
                <w:sz w:val="22"/>
                <w:szCs w:val="22"/>
              </w:rPr>
            </w:pP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20</w:t>
            </w:r>
          </w:p>
        </w:tc>
        <w:tc>
          <w:tcPr>
            <w:tcW w:w="169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0" w:type="dxa"/>
            <w:tcBorders>
              <w:top w:val="single" w:color="auto" w:sz="4" w:space="0"/>
              <w:left w:val="single" w:color="auto" w:sz="4" w:space="0"/>
              <w:bottom w:val="single" w:color="auto" w:sz="4" w:space="0"/>
            </w:tcBorders>
            <w:shd w:val="clear" w:color="auto" w:fill="auto"/>
            <w:noWrap/>
            <w:vAlign w:val="center"/>
          </w:tcPr>
          <w:p>
            <w:pPr>
              <w:widowControl/>
              <w:spacing w:line="24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3022" w:type="dxa"/>
            <w:tcBorders>
              <w:top w:val="single" w:color="auto" w:sz="4" w:space="0"/>
              <w:bottom w:val="single" w:color="auto" w:sz="4" w:space="0"/>
              <w:right w:val="single" w:color="auto" w:sz="4" w:space="0"/>
            </w:tcBorders>
            <w:shd w:val="clear" w:color="auto" w:fill="FFFFFF"/>
            <w:noWrap/>
            <w:vAlign w:val="center"/>
          </w:tcPr>
          <w:p>
            <w:pPr>
              <w:widowControl/>
              <w:spacing w:line="24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7</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6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22"/>
                <w:szCs w:val="22"/>
              </w:rPr>
            </w:pP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21</w:t>
            </w:r>
          </w:p>
        </w:tc>
        <w:tc>
          <w:tcPr>
            <w:tcW w:w="169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0" w:type="dxa"/>
            <w:tcBorders>
              <w:top w:val="single" w:color="auto" w:sz="4" w:space="0"/>
              <w:left w:val="single" w:color="auto" w:sz="4" w:space="0"/>
              <w:bottom w:val="single" w:color="auto" w:sz="4" w:space="0"/>
            </w:tcBorders>
            <w:shd w:val="clear" w:color="auto" w:fill="auto"/>
            <w:noWrap/>
            <w:vAlign w:val="center"/>
          </w:tcPr>
          <w:p>
            <w:pPr>
              <w:widowControl/>
              <w:spacing w:line="24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3022" w:type="dxa"/>
            <w:tcBorders>
              <w:top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8</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6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22</w:t>
            </w:r>
          </w:p>
        </w:tc>
        <w:tc>
          <w:tcPr>
            <w:tcW w:w="169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0" w:type="dxa"/>
            <w:tcBorders>
              <w:top w:val="single" w:color="auto" w:sz="4" w:space="0"/>
              <w:left w:val="single" w:color="auto" w:sz="4" w:space="0"/>
              <w:bottom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3022" w:type="dxa"/>
            <w:tcBorders>
              <w:top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bCs/>
                <w:kern w:val="0"/>
                <w:sz w:val="22"/>
                <w:szCs w:val="22"/>
              </w:rPr>
            </w:pPr>
            <w:r>
              <w:rPr>
                <w:rFonts w:hint="eastAsia" w:ascii="仿宋_GB2312" w:hAnsi="宋体" w:eastAsia="仿宋_GB2312" w:cs="宋体"/>
                <w:bCs/>
                <w:kern w:val="0"/>
                <w:sz w:val="22"/>
                <w:szCs w:val="22"/>
              </w:rPr>
              <w:t>本年收入合计</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9</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11,676.85</w:t>
            </w:r>
          </w:p>
        </w:tc>
        <w:tc>
          <w:tcPr>
            <w:tcW w:w="26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bCs/>
                <w:kern w:val="0"/>
                <w:sz w:val="22"/>
                <w:szCs w:val="22"/>
              </w:rPr>
            </w:pPr>
            <w:r>
              <w:rPr>
                <w:rFonts w:hint="eastAsia" w:ascii="仿宋_GB2312" w:hAnsi="宋体" w:eastAsia="仿宋_GB2312" w:cs="宋体"/>
                <w:bCs/>
                <w:kern w:val="0"/>
                <w:sz w:val="22"/>
                <w:szCs w:val="22"/>
              </w:rPr>
              <w:t>本年支出合计</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23</w:t>
            </w:r>
          </w:p>
        </w:tc>
        <w:tc>
          <w:tcPr>
            <w:tcW w:w="169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11,676.85　</w:t>
            </w:r>
          </w:p>
        </w:tc>
        <w:tc>
          <w:tcPr>
            <w:tcW w:w="1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11,676.85　</w:t>
            </w:r>
          </w:p>
        </w:tc>
        <w:tc>
          <w:tcPr>
            <w:tcW w:w="1700" w:type="dxa"/>
            <w:tcBorders>
              <w:top w:val="single" w:color="auto" w:sz="4" w:space="0"/>
              <w:left w:val="single" w:color="auto" w:sz="4" w:space="0"/>
              <w:bottom w:val="single" w:color="auto" w:sz="4" w:space="0"/>
            </w:tcBorders>
            <w:shd w:val="clear" w:color="auto" w:fill="auto"/>
            <w:noWrap/>
            <w:vAlign w:val="center"/>
          </w:tcPr>
          <w:p>
            <w:pPr>
              <w:widowControl/>
              <w:spacing w:line="240" w:lineRule="exact"/>
              <w:jc w:val="left"/>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3022" w:type="dxa"/>
            <w:tcBorders>
              <w:top w:val="single" w:color="auto" w:sz="4" w:space="0"/>
              <w:bottom w:val="single" w:color="auto" w:sz="4" w:space="0"/>
              <w:right w:val="single" w:color="auto" w:sz="4" w:space="0"/>
            </w:tcBorders>
            <w:shd w:val="clear" w:color="auto" w:fill="auto"/>
            <w:noWrap/>
            <w:vAlign w:val="center"/>
          </w:tcPr>
          <w:p>
            <w:pPr>
              <w:widowControl/>
              <w:spacing w:line="240" w:lineRule="exact"/>
              <w:rPr>
                <w:rFonts w:ascii="仿宋_GB2312" w:hAnsi="宋体" w:eastAsia="仿宋_GB2312" w:cs="宋体"/>
                <w:kern w:val="0"/>
                <w:sz w:val="22"/>
                <w:szCs w:val="22"/>
              </w:rPr>
            </w:pPr>
            <w:r>
              <w:rPr>
                <w:rFonts w:hint="eastAsia" w:ascii="仿宋_GB2312" w:hAnsi="宋体" w:eastAsia="仿宋_GB2312" w:cs="宋体"/>
                <w:kern w:val="0"/>
                <w:sz w:val="22"/>
                <w:szCs w:val="22"/>
              </w:rPr>
              <w:t>年初财政拨款结转和结余</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6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rPr>
                <w:rFonts w:ascii="仿宋_GB2312" w:hAnsi="宋体" w:eastAsia="仿宋_GB2312" w:cs="宋体"/>
                <w:kern w:val="0"/>
                <w:sz w:val="22"/>
                <w:szCs w:val="22"/>
              </w:rPr>
            </w:pPr>
            <w:r>
              <w:rPr>
                <w:rFonts w:hint="eastAsia" w:ascii="仿宋_GB2312" w:hAnsi="宋体" w:eastAsia="仿宋_GB2312" w:cs="宋体"/>
                <w:kern w:val="0"/>
                <w:sz w:val="22"/>
                <w:szCs w:val="22"/>
              </w:rPr>
              <w:t>年末财政拨款结转和结余</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24</w:t>
            </w:r>
          </w:p>
        </w:tc>
        <w:tc>
          <w:tcPr>
            <w:tcW w:w="169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0" w:type="dxa"/>
            <w:tcBorders>
              <w:top w:val="single" w:color="auto" w:sz="4" w:space="0"/>
              <w:left w:val="single" w:color="auto" w:sz="4" w:space="0"/>
              <w:bottom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3022" w:type="dxa"/>
            <w:tcBorders>
              <w:top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一般公共预算财政拨款</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11</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6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25</w:t>
            </w:r>
          </w:p>
        </w:tc>
        <w:tc>
          <w:tcPr>
            <w:tcW w:w="169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0" w:type="dxa"/>
            <w:tcBorders>
              <w:top w:val="single" w:color="auto" w:sz="4" w:space="0"/>
              <w:left w:val="single" w:color="auto" w:sz="4" w:space="0"/>
              <w:bottom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3022" w:type="dxa"/>
            <w:tcBorders>
              <w:top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xml:space="preserve">  政府性基金预算财政拨款</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12</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6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26</w:t>
            </w:r>
          </w:p>
        </w:tc>
        <w:tc>
          <w:tcPr>
            <w:tcW w:w="169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0" w:type="dxa"/>
            <w:tcBorders>
              <w:top w:val="single" w:color="auto" w:sz="4" w:space="0"/>
              <w:left w:val="single" w:color="auto" w:sz="4" w:space="0"/>
              <w:bottom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3022" w:type="dxa"/>
            <w:tcBorders>
              <w:top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13</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262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27</w:t>
            </w:r>
          </w:p>
        </w:tc>
        <w:tc>
          <w:tcPr>
            <w:tcW w:w="169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0" w:type="dxa"/>
            <w:tcBorders>
              <w:top w:val="single" w:color="auto" w:sz="4" w:space="0"/>
              <w:left w:val="single" w:color="auto" w:sz="4" w:space="0"/>
              <w:bottom w:val="single" w:color="auto" w:sz="4" w:space="0"/>
            </w:tcBorders>
            <w:shd w:val="clear" w:color="auto" w:fill="auto"/>
            <w:noWrap/>
            <w:vAlign w:val="center"/>
          </w:tcPr>
          <w:p>
            <w:pPr>
              <w:widowControl/>
              <w:spacing w:line="24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3022" w:type="dxa"/>
            <w:tcBorders>
              <w:top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bCs/>
                <w:kern w:val="0"/>
                <w:sz w:val="22"/>
                <w:szCs w:val="22"/>
              </w:rPr>
            </w:pPr>
            <w:r>
              <w:rPr>
                <w:rFonts w:hint="eastAsia" w:ascii="仿宋_GB2312" w:hAnsi="宋体" w:eastAsia="仿宋_GB2312" w:cs="宋体"/>
                <w:bCs/>
                <w:kern w:val="0"/>
                <w:sz w:val="22"/>
                <w:szCs w:val="22"/>
              </w:rPr>
              <w:t>总计</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14</w:t>
            </w:r>
          </w:p>
        </w:tc>
        <w:tc>
          <w:tcPr>
            <w:tcW w:w="151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right"/>
              <w:rPr>
                <w:rFonts w:ascii="仿宋_GB2312" w:hAnsi="宋体" w:eastAsia="仿宋_GB2312" w:cs="宋体"/>
                <w:kern w:val="0"/>
                <w:sz w:val="22"/>
                <w:szCs w:val="22"/>
              </w:rPr>
            </w:pPr>
            <w:r>
              <w:rPr>
                <w:rFonts w:ascii="仿宋_GB2312" w:hAnsi="宋体" w:eastAsia="仿宋_GB2312" w:cs="宋体"/>
                <w:kern w:val="0"/>
                <w:sz w:val="22"/>
                <w:szCs w:val="22"/>
              </w:rPr>
              <w:t>11676.85</w:t>
            </w:r>
            <w:r>
              <w:rPr>
                <w:rFonts w:hint="eastAsia" w:ascii="仿宋_GB2312" w:hAnsi="宋体" w:eastAsia="仿宋_GB2312" w:cs="宋体"/>
                <w:kern w:val="0"/>
                <w:sz w:val="22"/>
                <w:szCs w:val="22"/>
              </w:rPr>
              <w:t>　</w:t>
            </w:r>
          </w:p>
        </w:tc>
        <w:tc>
          <w:tcPr>
            <w:tcW w:w="2628"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bCs/>
                <w:kern w:val="0"/>
                <w:sz w:val="22"/>
                <w:szCs w:val="22"/>
              </w:rPr>
            </w:pPr>
            <w:r>
              <w:rPr>
                <w:rFonts w:hint="eastAsia" w:ascii="仿宋_GB2312" w:hAnsi="宋体" w:eastAsia="仿宋_GB2312" w:cs="宋体"/>
                <w:bCs/>
                <w:kern w:val="0"/>
                <w:sz w:val="22"/>
                <w:szCs w:val="22"/>
              </w:rPr>
              <w:t>总计</w:t>
            </w:r>
          </w:p>
        </w:tc>
        <w:tc>
          <w:tcPr>
            <w:tcW w:w="54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28</w:t>
            </w:r>
          </w:p>
        </w:tc>
        <w:tc>
          <w:tcPr>
            <w:tcW w:w="169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11,676.85　</w:t>
            </w:r>
          </w:p>
        </w:tc>
        <w:tc>
          <w:tcPr>
            <w:tcW w:w="170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spacing w:line="24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11,676.85　</w:t>
            </w:r>
          </w:p>
        </w:tc>
        <w:tc>
          <w:tcPr>
            <w:tcW w:w="1700" w:type="dxa"/>
            <w:tcBorders>
              <w:top w:val="single" w:color="auto" w:sz="4" w:space="0"/>
              <w:left w:val="single" w:color="auto" w:sz="4" w:space="0"/>
              <w:bottom w:val="single" w:color="auto" w:sz="4" w:space="0"/>
            </w:tcBorders>
            <w:shd w:val="clear" w:color="auto" w:fill="auto"/>
            <w:noWrap/>
            <w:vAlign w:val="center"/>
          </w:tcPr>
          <w:p>
            <w:pPr>
              <w:widowControl/>
              <w:spacing w:line="240" w:lineRule="exact"/>
              <w:jc w:val="left"/>
              <w:rPr>
                <w:rFonts w:ascii="仿宋_GB2312" w:hAnsi="宋体" w:eastAsia="仿宋_GB2312" w:cs="宋体"/>
                <w:b/>
                <w:bCs/>
                <w:kern w:val="0"/>
                <w:sz w:val="22"/>
                <w:szCs w:val="22"/>
              </w:rPr>
            </w:pPr>
            <w:r>
              <w:rPr>
                <w:rFonts w:hint="eastAsia" w:ascii="仿宋_GB2312" w:hAnsi="宋体" w:eastAsia="仿宋_GB2312" w:cs="宋体"/>
                <w:b/>
                <w:bCs/>
                <w:kern w:val="0"/>
                <w:sz w:val="22"/>
                <w:szCs w:val="22"/>
              </w:rPr>
              <w:t>　</w:t>
            </w:r>
          </w:p>
        </w:tc>
      </w:tr>
    </w:tbl>
    <w:p>
      <w:pPr>
        <w:ind w:firstLine="108" w:firstLineChars="50"/>
        <w:rPr>
          <w:rFonts w:ascii="仿宋_GB2312" w:hAnsi="宋体" w:eastAsia="仿宋_GB2312"/>
          <w:sz w:val="22"/>
          <w:szCs w:val="22"/>
        </w:rPr>
        <w:sectPr>
          <w:pgSz w:w="16838" w:h="11906" w:orient="landscape"/>
          <w:pgMar w:top="1531" w:right="1701" w:bottom="1531" w:left="1701" w:header="0" w:footer="1418" w:gutter="0"/>
          <w:cols w:space="720" w:num="1"/>
          <w:docGrid w:type="linesAndChars" w:linePitch="610" w:charSpace="-849"/>
        </w:sectPr>
      </w:pPr>
      <w:r>
        <w:rPr>
          <w:rFonts w:hint="eastAsia" w:ascii="仿宋_GB2312" w:hAnsi="宋体" w:eastAsia="仿宋_GB2312"/>
          <w:sz w:val="22"/>
          <w:szCs w:val="22"/>
        </w:rPr>
        <w:t>注：本表反映部门本年度一般公共预算财政拨款和政府性基金预算财政拨款的总收支和年末结转结余情况。</w:t>
      </w:r>
    </w:p>
    <w:p>
      <w:pPr>
        <w:jc w:val="center"/>
        <w:rPr>
          <w:rFonts w:ascii="方正小标宋简体" w:eastAsia="方正小标宋简体"/>
          <w:sz w:val="44"/>
          <w:szCs w:val="44"/>
        </w:rPr>
      </w:pPr>
      <w:r>
        <w:rPr>
          <w:rFonts w:hint="eastAsia" w:ascii="方正小标宋简体" w:eastAsia="方正小标宋简体"/>
          <w:sz w:val="44"/>
          <w:szCs w:val="44"/>
        </w:rPr>
        <w:t>一般公共预算财政拨款支出决算表</w:t>
      </w:r>
    </w:p>
    <w:p>
      <w:pPr>
        <w:spacing w:line="400" w:lineRule="exact"/>
        <w:jc w:val="right"/>
        <w:rPr>
          <w:rFonts w:ascii="楷体_GB2312" w:eastAsia="楷体_GB2312"/>
          <w:sz w:val="28"/>
          <w:szCs w:val="28"/>
        </w:rPr>
      </w:pPr>
      <w:r>
        <w:rPr>
          <w:rFonts w:hint="eastAsia" w:ascii="楷体_GB2312" w:eastAsia="楷体_GB2312"/>
          <w:sz w:val="28"/>
          <w:szCs w:val="28"/>
        </w:rPr>
        <w:t>公开05表</w:t>
      </w:r>
    </w:p>
    <w:p>
      <w:pPr>
        <w:wordWrap w:val="0"/>
        <w:spacing w:line="400" w:lineRule="exact"/>
        <w:ind w:firstLine="138" w:firstLineChars="50"/>
        <w:jc w:val="right"/>
        <w:rPr>
          <w:rFonts w:ascii="楷体_GB2312" w:eastAsia="楷体_GB2312"/>
          <w:sz w:val="28"/>
          <w:szCs w:val="28"/>
        </w:rPr>
      </w:pPr>
      <w:r>
        <w:rPr>
          <w:rFonts w:hint="eastAsia" w:ascii="楷体_GB2312" w:eastAsia="楷体_GB2312"/>
          <w:sz w:val="28"/>
          <w:szCs w:val="28"/>
        </w:rPr>
        <w:t xml:space="preserve">部门：中共青岛市委党校                                         </w:t>
      </w:r>
      <w:r>
        <w:rPr>
          <w:rFonts w:ascii="楷体_GB2312" w:eastAsia="楷体_GB2312"/>
          <w:sz w:val="28"/>
          <w:szCs w:val="28"/>
        </w:rPr>
        <w:t xml:space="preserve">  </w:t>
      </w:r>
      <w:r>
        <w:rPr>
          <w:rFonts w:hint="eastAsia" w:ascii="楷体_GB2312" w:eastAsia="楷体_GB2312"/>
          <w:sz w:val="28"/>
          <w:szCs w:val="28"/>
        </w:rPr>
        <w:t xml:space="preserve">                     单位：万元</w:t>
      </w:r>
    </w:p>
    <w:tbl>
      <w:tblPr>
        <w:tblStyle w:val="5"/>
        <w:tblW w:w="4817" w:type="pct"/>
        <w:jc w:val="center"/>
        <w:tblLayout w:type="autofit"/>
        <w:tblCellMar>
          <w:top w:w="0" w:type="dxa"/>
          <w:left w:w="108" w:type="dxa"/>
          <w:bottom w:w="0" w:type="dxa"/>
          <w:right w:w="108" w:type="dxa"/>
        </w:tblCellMar>
      </w:tblPr>
      <w:tblGrid>
        <w:gridCol w:w="1701"/>
        <w:gridCol w:w="3170"/>
        <w:gridCol w:w="2783"/>
        <w:gridCol w:w="2978"/>
        <w:gridCol w:w="2520"/>
      </w:tblGrid>
      <w:tr>
        <w:tblPrEx>
          <w:tblCellMar>
            <w:top w:w="0" w:type="dxa"/>
            <w:left w:w="108" w:type="dxa"/>
            <w:bottom w:w="0" w:type="dxa"/>
            <w:right w:w="108" w:type="dxa"/>
          </w:tblCellMar>
        </w:tblPrEx>
        <w:trPr>
          <w:trHeight w:val="428" w:hRule="atLeast"/>
          <w:jc w:val="center"/>
        </w:trPr>
        <w:tc>
          <w:tcPr>
            <w:tcW w:w="18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项       目</w:t>
            </w:r>
          </w:p>
        </w:tc>
        <w:tc>
          <w:tcPr>
            <w:tcW w:w="3148"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本年支出</w:t>
            </w:r>
          </w:p>
        </w:tc>
      </w:tr>
      <w:tr>
        <w:tblPrEx>
          <w:tblCellMar>
            <w:top w:w="0" w:type="dxa"/>
            <w:left w:w="108" w:type="dxa"/>
            <w:bottom w:w="0" w:type="dxa"/>
            <w:right w:w="108" w:type="dxa"/>
          </w:tblCellMar>
        </w:tblPrEx>
        <w:trPr>
          <w:trHeight w:val="675" w:hRule="exact"/>
          <w:jc w:val="center"/>
        </w:trPr>
        <w:tc>
          <w:tcPr>
            <w:tcW w:w="6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功能分类</w:t>
            </w:r>
          </w:p>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科目编码</w:t>
            </w:r>
          </w:p>
        </w:tc>
        <w:tc>
          <w:tcPr>
            <w:tcW w:w="120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科目名称</w:t>
            </w:r>
          </w:p>
        </w:tc>
        <w:tc>
          <w:tcPr>
            <w:tcW w:w="105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小计</w:t>
            </w:r>
          </w:p>
        </w:tc>
        <w:tc>
          <w:tcPr>
            <w:tcW w:w="113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基本支出</w:t>
            </w:r>
          </w:p>
        </w:tc>
        <w:tc>
          <w:tcPr>
            <w:tcW w:w="95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项目支出</w:t>
            </w:r>
          </w:p>
        </w:tc>
      </w:tr>
      <w:tr>
        <w:tblPrEx>
          <w:tblCellMar>
            <w:top w:w="0" w:type="dxa"/>
            <w:left w:w="108" w:type="dxa"/>
            <w:bottom w:w="0" w:type="dxa"/>
            <w:right w:w="108" w:type="dxa"/>
          </w:tblCellMar>
        </w:tblPrEx>
        <w:trPr>
          <w:trHeight w:val="454" w:hRule="exact"/>
          <w:jc w:val="center"/>
        </w:trPr>
        <w:tc>
          <w:tcPr>
            <w:tcW w:w="18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栏  次</w:t>
            </w:r>
          </w:p>
        </w:tc>
        <w:tc>
          <w:tcPr>
            <w:tcW w:w="1058"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w:t>
            </w:r>
          </w:p>
        </w:tc>
        <w:tc>
          <w:tcPr>
            <w:tcW w:w="1132"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w:t>
            </w:r>
          </w:p>
        </w:tc>
        <w:tc>
          <w:tcPr>
            <w:tcW w:w="958" w:type="pct"/>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3</w:t>
            </w:r>
          </w:p>
        </w:tc>
      </w:tr>
      <w:tr>
        <w:tblPrEx>
          <w:tblCellMar>
            <w:top w:w="0" w:type="dxa"/>
            <w:left w:w="108" w:type="dxa"/>
            <w:bottom w:w="0" w:type="dxa"/>
            <w:right w:w="108" w:type="dxa"/>
          </w:tblCellMar>
        </w:tblPrEx>
        <w:trPr>
          <w:trHeight w:val="454" w:hRule="exact"/>
          <w:jc w:val="center"/>
        </w:trPr>
        <w:tc>
          <w:tcPr>
            <w:tcW w:w="185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00" w:lineRule="exact"/>
              <w:jc w:val="center"/>
              <w:rPr>
                <w:rFonts w:ascii="仿宋_GB2312" w:hAnsi="宋体" w:eastAsia="仿宋_GB2312" w:cs="宋体"/>
                <w:kern w:val="0"/>
                <w:sz w:val="15"/>
                <w:szCs w:val="15"/>
              </w:rPr>
            </w:pPr>
            <w:r>
              <w:rPr>
                <w:rFonts w:hint="eastAsia" w:ascii="仿宋_GB2312" w:hAnsi="宋体" w:eastAsia="仿宋_GB2312" w:cs="宋体"/>
                <w:kern w:val="0"/>
                <w:sz w:val="15"/>
                <w:szCs w:val="15"/>
              </w:rPr>
              <w:t>合  计</w:t>
            </w:r>
          </w:p>
        </w:tc>
        <w:tc>
          <w:tcPr>
            <w:tcW w:w="1058" w:type="pct"/>
            <w:tcBorders>
              <w:top w:val="nil"/>
              <w:left w:val="nil"/>
              <w:bottom w:val="single" w:color="auto" w:sz="4" w:space="0"/>
              <w:right w:val="single" w:color="auto" w:sz="4" w:space="0"/>
            </w:tcBorders>
            <w:shd w:val="clear" w:color="auto" w:fill="auto"/>
            <w:noWrap/>
            <w:vAlign w:val="center"/>
          </w:tcPr>
          <w:p>
            <w:pPr>
              <w:spacing w:line="200" w:lineRule="exact"/>
              <w:jc w:val="right"/>
              <w:rPr>
                <w:rFonts w:ascii="宋体" w:hAnsi="宋体" w:cs="Arial"/>
                <w:b/>
                <w:bCs/>
                <w:sz w:val="15"/>
                <w:szCs w:val="15"/>
              </w:rPr>
            </w:pPr>
            <w:r>
              <w:rPr>
                <w:rFonts w:hint="eastAsia" w:cs="Arial"/>
                <w:b/>
                <w:bCs/>
                <w:sz w:val="15"/>
                <w:szCs w:val="15"/>
              </w:rPr>
              <w:t>11,676.85</w:t>
            </w:r>
          </w:p>
        </w:tc>
        <w:tc>
          <w:tcPr>
            <w:tcW w:w="1132" w:type="pct"/>
            <w:tcBorders>
              <w:top w:val="nil"/>
              <w:left w:val="nil"/>
              <w:bottom w:val="single" w:color="auto" w:sz="4" w:space="0"/>
              <w:right w:val="single" w:color="auto" w:sz="4" w:space="0"/>
            </w:tcBorders>
            <w:shd w:val="clear" w:color="auto" w:fill="auto"/>
            <w:noWrap/>
            <w:vAlign w:val="center"/>
          </w:tcPr>
          <w:p>
            <w:pPr>
              <w:spacing w:line="200" w:lineRule="exact"/>
              <w:jc w:val="right"/>
              <w:rPr>
                <w:rFonts w:ascii="宋体" w:hAnsi="宋体" w:cs="Arial"/>
                <w:b/>
                <w:bCs/>
                <w:sz w:val="15"/>
                <w:szCs w:val="15"/>
              </w:rPr>
            </w:pPr>
            <w:r>
              <w:rPr>
                <w:rFonts w:hint="eastAsia" w:cs="Arial"/>
                <w:b/>
                <w:bCs/>
                <w:sz w:val="15"/>
                <w:szCs w:val="15"/>
              </w:rPr>
              <w:t>5,899.10</w:t>
            </w:r>
          </w:p>
        </w:tc>
        <w:tc>
          <w:tcPr>
            <w:tcW w:w="958" w:type="pct"/>
            <w:tcBorders>
              <w:top w:val="nil"/>
              <w:left w:val="nil"/>
              <w:bottom w:val="single" w:color="auto" w:sz="4" w:space="0"/>
              <w:right w:val="single" w:color="auto" w:sz="4" w:space="0"/>
            </w:tcBorders>
            <w:shd w:val="clear" w:color="auto" w:fill="auto"/>
            <w:noWrap/>
            <w:vAlign w:val="center"/>
          </w:tcPr>
          <w:p>
            <w:pPr>
              <w:spacing w:line="200" w:lineRule="exact"/>
              <w:jc w:val="right"/>
              <w:rPr>
                <w:rFonts w:ascii="宋体" w:hAnsi="宋体" w:cs="Arial"/>
                <w:b/>
                <w:bCs/>
                <w:sz w:val="15"/>
                <w:szCs w:val="15"/>
              </w:rPr>
            </w:pPr>
            <w:r>
              <w:rPr>
                <w:rFonts w:hint="eastAsia" w:cs="Arial"/>
                <w:b/>
                <w:bCs/>
                <w:sz w:val="15"/>
                <w:szCs w:val="15"/>
              </w:rPr>
              <w:t>5,777.76</w:t>
            </w:r>
          </w:p>
        </w:tc>
      </w:tr>
      <w:tr>
        <w:tblPrEx>
          <w:tblCellMar>
            <w:top w:w="0" w:type="dxa"/>
            <w:left w:w="108" w:type="dxa"/>
            <w:bottom w:w="0" w:type="dxa"/>
            <w:right w:w="108" w:type="dxa"/>
          </w:tblCellMar>
        </w:tblPrEx>
        <w:trPr>
          <w:trHeight w:val="284" w:hRule="exact"/>
          <w:jc w:val="center"/>
        </w:trPr>
        <w:tc>
          <w:tcPr>
            <w:tcW w:w="647" w:type="pc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cs="Arial"/>
                <w:b/>
                <w:bCs/>
                <w:kern w:val="0"/>
                <w:sz w:val="15"/>
                <w:szCs w:val="15"/>
              </w:rPr>
            </w:pPr>
            <w:r>
              <w:rPr>
                <w:rFonts w:hint="eastAsia" w:ascii="宋体" w:hAnsi="宋体" w:cs="Arial"/>
                <w:b/>
                <w:bCs/>
                <w:kern w:val="0"/>
                <w:sz w:val="15"/>
                <w:szCs w:val="15"/>
              </w:rPr>
              <w:t>201</w:t>
            </w:r>
          </w:p>
        </w:tc>
        <w:tc>
          <w:tcPr>
            <w:tcW w:w="1205" w:type="pct"/>
            <w:tcBorders>
              <w:top w:val="nil"/>
              <w:left w:val="nil"/>
              <w:bottom w:val="single" w:color="auto" w:sz="4" w:space="0"/>
              <w:right w:val="single" w:color="auto" w:sz="4" w:space="0"/>
            </w:tcBorders>
            <w:shd w:val="clear" w:color="auto" w:fill="auto"/>
            <w:vAlign w:val="center"/>
          </w:tcPr>
          <w:p>
            <w:pPr>
              <w:spacing w:line="200" w:lineRule="exact"/>
              <w:rPr>
                <w:rFonts w:ascii="宋体" w:hAnsi="宋体" w:cs="Arial"/>
                <w:b/>
                <w:bCs/>
                <w:sz w:val="15"/>
                <w:szCs w:val="15"/>
              </w:rPr>
            </w:pPr>
            <w:r>
              <w:rPr>
                <w:rFonts w:hint="eastAsia" w:cs="Arial"/>
                <w:b/>
                <w:bCs/>
                <w:sz w:val="15"/>
                <w:szCs w:val="15"/>
              </w:rPr>
              <w:t>一般公共服务支出</w:t>
            </w:r>
          </w:p>
        </w:tc>
        <w:tc>
          <w:tcPr>
            <w:tcW w:w="1058" w:type="pct"/>
            <w:tcBorders>
              <w:top w:val="nil"/>
              <w:left w:val="nil"/>
              <w:bottom w:val="single" w:color="auto" w:sz="4" w:space="0"/>
              <w:right w:val="single" w:color="auto" w:sz="4" w:space="0"/>
            </w:tcBorders>
            <w:shd w:val="clear" w:color="auto" w:fill="auto"/>
            <w:noWrap/>
            <w:vAlign w:val="center"/>
          </w:tcPr>
          <w:p>
            <w:pPr>
              <w:spacing w:line="200" w:lineRule="exact"/>
              <w:jc w:val="right"/>
              <w:rPr>
                <w:rFonts w:ascii="宋体" w:hAnsi="宋体" w:cs="Arial"/>
                <w:b/>
                <w:bCs/>
                <w:sz w:val="15"/>
                <w:szCs w:val="15"/>
              </w:rPr>
            </w:pPr>
            <w:r>
              <w:rPr>
                <w:rFonts w:hint="eastAsia" w:cs="Arial"/>
                <w:b/>
                <w:bCs/>
                <w:sz w:val="15"/>
                <w:szCs w:val="15"/>
              </w:rPr>
              <w:t>3,601.82</w:t>
            </w:r>
          </w:p>
        </w:tc>
        <w:tc>
          <w:tcPr>
            <w:tcW w:w="1132" w:type="pct"/>
            <w:tcBorders>
              <w:top w:val="nil"/>
              <w:left w:val="nil"/>
              <w:bottom w:val="single" w:color="auto" w:sz="4" w:space="0"/>
              <w:right w:val="single" w:color="auto" w:sz="4" w:space="0"/>
            </w:tcBorders>
            <w:shd w:val="clear" w:color="auto" w:fill="auto"/>
            <w:noWrap/>
            <w:vAlign w:val="center"/>
          </w:tcPr>
          <w:p>
            <w:pPr>
              <w:spacing w:line="200" w:lineRule="exact"/>
              <w:jc w:val="right"/>
              <w:rPr>
                <w:rFonts w:ascii="宋体" w:hAnsi="宋体" w:cs="Arial"/>
                <w:b/>
                <w:bCs/>
                <w:sz w:val="15"/>
                <w:szCs w:val="15"/>
              </w:rPr>
            </w:pPr>
            <w:r>
              <w:rPr>
                <w:rFonts w:hint="eastAsia" w:cs="Arial"/>
                <w:b/>
                <w:bCs/>
                <w:sz w:val="15"/>
                <w:szCs w:val="15"/>
              </w:rPr>
              <w:t>　</w:t>
            </w:r>
          </w:p>
        </w:tc>
        <w:tc>
          <w:tcPr>
            <w:tcW w:w="958" w:type="pct"/>
            <w:tcBorders>
              <w:top w:val="nil"/>
              <w:left w:val="nil"/>
              <w:bottom w:val="single" w:color="auto" w:sz="4" w:space="0"/>
              <w:right w:val="single" w:color="auto" w:sz="4" w:space="0"/>
            </w:tcBorders>
            <w:shd w:val="clear" w:color="auto" w:fill="auto"/>
            <w:noWrap/>
            <w:vAlign w:val="center"/>
          </w:tcPr>
          <w:p>
            <w:pPr>
              <w:spacing w:line="200" w:lineRule="exact"/>
              <w:jc w:val="right"/>
              <w:rPr>
                <w:rFonts w:ascii="宋体" w:hAnsi="宋体" w:cs="Arial"/>
                <w:b/>
                <w:bCs/>
                <w:sz w:val="15"/>
                <w:szCs w:val="15"/>
              </w:rPr>
            </w:pPr>
            <w:r>
              <w:rPr>
                <w:rFonts w:hint="eastAsia" w:cs="Arial"/>
                <w:b/>
                <w:bCs/>
                <w:sz w:val="15"/>
                <w:szCs w:val="15"/>
              </w:rPr>
              <w:t>3,601.82</w:t>
            </w:r>
          </w:p>
        </w:tc>
      </w:tr>
      <w:tr>
        <w:tblPrEx>
          <w:tblCellMar>
            <w:top w:w="0" w:type="dxa"/>
            <w:left w:w="108" w:type="dxa"/>
            <w:bottom w:w="0" w:type="dxa"/>
            <w:right w:w="108" w:type="dxa"/>
          </w:tblCellMar>
        </w:tblPrEx>
        <w:trPr>
          <w:trHeight w:val="284" w:hRule="exact"/>
          <w:jc w:val="center"/>
        </w:trPr>
        <w:tc>
          <w:tcPr>
            <w:tcW w:w="647" w:type="pc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cs="Arial"/>
                <w:b/>
                <w:bCs/>
                <w:kern w:val="0"/>
                <w:sz w:val="15"/>
                <w:szCs w:val="15"/>
              </w:rPr>
            </w:pPr>
            <w:r>
              <w:rPr>
                <w:rFonts w:hint="eastAsia" w:ascii="宋体" w:hAnsi="宋体" w:cs="Arial"/>
                <w:b/>
                <w:bCs/>
                <w:kern w:val="0"/>
                <w:sz w:val="15"/>
                <w:szCs w:val="15"/>
              </w:rPr>
              <w:t>20199</w:t>
            </w:r>
          </w:p>
        </w:tc>
        <w:tc>
          <w:tcPr>
            <w:tcW w:w="1205" w:type="pct"/>
            <w:tcBorders>
              <w:top w:val="nil"/>
              <w:left w:val="nil"/>
              <w:bottom w:val="single" w:color="auto" w:sz="4" w:space="0"/>
              <w:right w:val="single" w:color="auto" w:sz="4" w:space="0"/>
            </w:tcBorders>
            <w:shd w:val="clear" w:color="auto" w:fill="auto"/>
            <w:vAlign w:val="center"/>
          </w:tcPr>
          <w:p>
            <w:pPr>
              <w:spacing w:line="200" w:lineRule="exact"/>
              <w:rPr>
                <w:rFonts w:ascii="宋体" w:hAnsi="宋体" w:cs="Arial"/>
                <w:b/>
                <w:bCs/>
                <w:sz w:val="15"/>
                <w:szCs w:val="15"/>
              </w:rPr>
            </w:pPr>
            <w:r>
              <w:rPr>
                <w:rFonts w:hint="eastAsia" w:cs="Arial"/>
                <w:b/>
                <w:bCs/>
                <w:sz w:val="15"/>
                <w:szCs w:val="15"/>
              </w:rPr>
              <w:t>其他一般公共服务支出</w:t>
            </w:r>
          </w:p>
        </w:tc>
        <w:tc>
          <w:tcPr>
            <w:tcW w:w="1058" w:type="pct"/>
            <w:tcBorders>
              <w:top w:val="nil"/>
              <w:left w:val="nil"/>
              <w:bottom w:val="single" w:color="auto" w:sz="4" w:space="0"/>
              <w:right w:val="single" w:color="auto" w:sz="4" w:space="0"/>
            </w:tcBorders>
            <w:shd w:val="clear" w:color="auto" w:fill="auto"/>
            <w:noWrap/>
            <w:vAlign w:val="center"/>
          </w:tcPr>
          <w:p>
            <w:pPr>
              <w:spacing w:line="200" w:lineRule="exact"/>
              <w:jc w:val="right"/>
              <w:rPr>
                <w:rFonts w:ascii="宋体" w:hAnsi="宋体" w:cs="Arial"/>
                <w:b/>
                <w:bCs/>
                <w:sz w:val="15"/>
                <w:szCs w:val="15"/>
              </w:rPr>
            </w:pPr>
            <w:r>
              <w:rPr>
                <w:rFonts w:hint="eastAsia" w:cs="Arial"/>
                <w:b/>
                <w:bCs/>
                <w:sz w:val="15"/>
                <w:szCs w:val="15"/>
              </w:rPr>
              <w:t>3,601.82</w:t>
            </w:r>
          </w:p>
        </w:tc>
        <w:tc>
          <w:tcPr>
            <w:tcW w:w="1132" w:type="pct"/>
            <w:tcBorders>
              <w:top w:val="nil"/>
              <w:left w:val="nil"/>
              <w:bottom w:val="single" w:color="auto" w:sz="4" w:space="0"/>
              <w:right w:val="single" w:color="auto" w:sz="4" w:space="0"/>
            </w:tcBorders>
            <w:shd w:val="clear" w:color="auto" w:fill="auto"/>
            <w:noWrap/>
            <w:vAlign w:val="center"/>
          </w:tcPr>
          <w:p>
            <w:pPr>
              <w:spacing w:line="200" w:lineRule="exact"/>
              <w:jc w:val="right"/>
              <w:rPr>
                <w:rFonts w:ascii="宋体" w:hAnsi="宋体" w:cs="Arial"/>
                <w:b/>
                <w:bCs/>
                <w:sz w:val="15"/>
                <w:szCs w:val="15"/>
              </w:rPr>
            </w:pPr>
            <w:r>
              <w:rPr>
                <w:rFonts w:hint="eastAsia" w:cs="Arial"/>
                <w:b/>
                <w:bCs/>
                <w:sz w:val="15"/>
                <w:szCs w:val="15"/>
              </w:rPr>
              <w:t>　</w:t>
            </w:r>
          </w:p>
        </w:tc>
        <w:tc>
          <w:tcPr>
            <w:tcW w:w="958" w:type="pct"/>
            <w:tcBorders>
              <w:top w:val="nil"/>
              <w:left w:val="nil"/>
              <w:bottom w:val="single" w:color="auto" w:sz="4" w:space="0"/>
              <w:right w:val="single" w:color="auto" w:sz="4" w:space="0"/>
            </w:tcBorders>
            <w:shd w:val="clear" w:color="auto" w:fill="auto"/>
            <w:noWrap/>
            <w:vAlign w:val="center"/>
          </w:tcPr>
          <w:p>
            <w:pPr>
              <w:spacing w:line="200" w:lineRule="exact"/>
              <w:jc w:val="right"/>
              <w:rPr>
                <w:rFonts w:ascii="宋体" w:hAnsi="宋体" w:cs="Arial"/>
                <w:b/>
                <w:bCs/>
                <w:sz w:val="15"/>
                <w:szCs w:val="15"/>
              </w:rPr>
            </w:pPr>
            <w:r>
              <w:rPr>
                <w:rFonts w:hint="eastAsia" w:cs="Arial"/>
                <w:b/>
                <w:bCs/>
                <w:sz w:val="15"/>
                <w:szCs w:val="15"/>
              </w:rPr>
              <w:t>3,601.82</w:t>
            </w:r>
          </w:p>
        </w:tc>
      </w:tr>
      <w:tr>
        <w:tblPrEx>
          <w:tblCellMar>
            <w:top w:w="0" w:type="dxa"/>
            <w:left w:w="108" w:type="dxa"/>
            <w:bottom w:w="0" w:type="dxa"/>
            <w:right w:w="108" w:type="dxa"/>
          </w:tblCellMar>
        </w:tblPrEx>
        <w:trPr>
          <w:trHeight w:val="284" w:hRule="exact"/>
          <w:jc w:val="center"/>
        </w:trPr>
        <w:tc>
          <w:tcPr>
            <w:tcW w:w="647" w:type="pc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cs="Arial"/>
                <w:kern w:val="0"/>
                <w:sz w:val="15"/>
                <w:szCs w:val="15"/>
              </w:rPr>
            </w:pPr>
            <w:r>
              <w:rPr>
                <w:rFonts w:hint="eastAsia" w:ascii="宋体" w:hAnsi="宋体" w:cs="Arial"/>
                <w:kern w:val="0"/>
                <w:sz w:val="15"/>
                <w:szCs w:val="15"/>
              </w:rPr>
              <w:t>2019999</w:t>
            </w:r>
          </w:p>
        </w:tc>
        <w:tc>
          <w:tcPr>
            <w:tcW w:w="1205" w:type="pct"/>
            <w:tcBorders>
              <w:top w:val="nil"/>
              <w:left w:val="nil"/>
              <w:bottom w:val="single" w:color="auto" w:sz="4" w:space="0"/>
              <w:right w:val="single" w:color="auto" w:sz="4" w:space="0"/>
            </w:tcBorders>
            <w:shd w:val="clear" w:color="auto" w:fill="auto"/>
            <w:vAlign w:val="center"/>
          </w:tcPr>
          <w:p>
            <w:pPr>
              <w:spacing w:line="200" w:lineRule="exact"/>
              <w:rPr>
                <w:rFonts w:ascii="宋体" w:hAnsi="宋体" w:cs="Arial"/>
                <w:sz w:val="15"/>
                <w:szCs w:val="15"/>
              </w:rPr>
            </w:pPr>
            <w:r>
              <w:rPr>
                <w:rFonts w:hint="eastAsia" w:cs="Arial"/>
                <w:sz w:val="15"/>
                <w:szCs w:val="15"/>
              </w:rPr>
              <w:t xml:space="preserve">  其他一般公共服务支出</w:t>
            </w:r>
          </w:p>
        </w:tc>
        <w:tc>
          <w:tcPr>
            <w:tcW w:w="1058" w:type="pct"/>
            <w:tcBorders>
              <w:top w:val="nil"/>
              <w:left w:val="nil"/>
              <w:bottom w:val="single" w:color="auto" w:sz="4" w:space="0"/>
              <w:right w:val="single" w:color="auto" w:sz="4" w:space="0"/>
            </w:tcBorders>
            <w:shd w:val="clear" w:color="auto" w:fill="auto"/>
            <w:noWrap/>
            <w:vAlign w:val="center"/>
          </w:tcPr>
          <w:p>
            <w:pPr>
              <w:spacing w:line="200" w:lineRule="exact"/>
              <w:jc w:val="right"/>
              <w:rPr>
                <w:rFonts w:ascii="宋体" w:hAnsi="宋体" w:cs="Arial"/>
                <w:sz w:val="15"/>
                <w:szCs w:val="15"/>
              </w:rPr>
            </w:pPr>
            <w:r>
              <w:rPr>
                <w:rFonts w:hint="eastAsia" w:cs="Arial"/>
                <w:sz w:val="15"/>
                <w:szCs w:val="15"/>
              </w:rPr>
              <w:t>3,601.82</w:t>
            </w:r>
          </w:p>
        </w:tc>
        <w:tc>
          <w:tcPr>
            <w:tcW w:w="1132" w:type="pct"/>
            <w:tcBorders>
              <w:top w:val="single" w:color="auto" w:sz="4" w:space="0"/>
              <w:left w:val="nil"/>
              <w:bottom w:val="single" w:color="auto" w:sz="4" w:space="0"/>
              <w:right w:val="single" w:color="auto" w:sz="4" w:space="0"/>
            </w:tcBorders>
            <w:shd w:val="clear" w:color="auto" w:fill="auto"/>
            <w:noWrap/>
            <w:vAlign w:val="center"/>
          </w:tcPr>
          <w:p>
            <w:pPr>
              <w:spacing w:line="200" w:lineRule="exact"/>
              <w:jc w:val="right"/>
              <w:rPr>
                <w:rFonts w:ascii="宋体" w:hAnsi="宋体" w:cs="Arial"/>
                <w:sz w:val="15"/>
                <w:szCs w:val="15"/>
              </w:rPr>
            </w:pPr>
            <w:r>
              <w:rPr>
                <w:rFonts w:hint="eastAsia" w:cs="Arial"/>
                <w:sz w:val="15"/>
                <w:szCs w:val="15"/>
              </w:rPr>
              <w:t>　</w:t>
            </w:r>
          </w:p>
        </w:tc>
        <w:tc>
          <w:tcPr>
            <w:tcW w:w="958" w:type="pct"/>
            <w:tcBorders>
              <w:top w:val="nil"/>
              <w:left w:val="nil"/>
              <w:bottom w:val="single" w:color="auto" w:sz="4" w:space="0"/>
              <w:right w:val="single" w:color="auto" w:sz="4" w:space="0"/>
            </w:tcBorders>
            <w:shd w:val="clear" w:color="auto" w:fill="auto"/>
            <w:noWrap/>
            <w:vAlign w:val="center"/>
          </w:tcPr>
          <w:p>
            <w:pPr>
              <w:spacing w:line="200" w:lineRule="exact"/>
              <w:jc w:val="right"/>
              <w:rPr>
                <w:rFonts w:ascii="宋体" w:hAnsi="宋体" w:cs="Arial"/>
                <w:sz w:val="15"/>
                <w:szCs w:val="15"/>
              </w:rPr>
            </w:pPr>
            <w:r>
              <w:rPr>
                <w:rFonts w:hint="eastAsia" w:cs="Arial"/>
                <w:sz w:val="15"/>
                <w:szCs w:val="15"/>
              </w:rPr>
              <w:t>3,601.82</w:t>
            </w:r>
          </w:p>
        </w:tc>
      </w:tr>
      <w:tr>
        <w:tblPrEx>
          <w:tblCellMar>
            <w:top w:w="0" w:type="dxa"/>
            <w:left w:w="108" w:type="dxa"/>
            <w:bottom w:w="0" w:type="dxa"/>
            <w:right w:w="108" w:type="dxa"/>
          </w:tblCellMar>
        </w:tblPrEx>
        <w:trPr>
          <w:trHeight w:val="284" w:hRule="exact"/>
          <w:jc w:val="center"/>
        </w:trPr>
        <w:tc>
          <w:tcPr>
            <w:tcW w:w="647" w:type="pc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cs="Arial"/>
                <w:b/>
                <w:bCs/>
                <w:kern w:val="0"/>
                <w:sz w:val="15"/>
                <w:szCs w:val="15"/>
              </w:rPr>
            </w:pPr>
            <w:r>
              <w:rPr>
                <w:rFonts w:hint="eastAsia" w:ascii="宋体" w:hAnsi="宋体" w:cs="Arial"/>
                <w:b/>
                <w:bCs/>
                <w:kern w:val="0"/>
                <w:sz w:val="15"/>
                <w:szCs w:val="15"/>
              </w:rPr>
              <w:t>205</w:t>
            </w:r>
          </w:p>
        </w:tc>
        <w:tc>
          <w:tcPr>
            <w:tcW w:w="1205" w:type="pct"/>
            <w:tcBorders>
              <w:top w:val="nil"/>
              <w:left w:val="nil"/>
              <w:bottom w:val="single" w:color="auto" w:sz="4" w:space="0"/>
              <w:right w:val="single" w:color="auto" w:sz="4" w:space="0"/>
            </w:tcBorders>
            <w:shd w:val="clear" w:color="auto" w:fill="auto"/>
            <w:vAlign w:val="center"/>
          </w:tcPr>
          <w:p>
            <w:pPr>
              <w:spacing w:line="200" w:lineRule="exact"/>
              <w:rPr>
                <w:rFonts w:ascii="宋体" w:hAnsi="宋体" w:cs="Arial"/>
                <w:b/>
                <w:bCs/>
                <w:sz w:val="15"/>
                <w:szCs w:val="15"/>
              </w:rPr>
            </w:pPr>
            <w:r>
              <w:rPr>
                <w:rFonts w:hint="eastAsia" w:cs="Arial"/>
                <w:b/>
                <w:bCs/>
                <w:sz w:val="15"/>
                <w:szCs w:val="15"/>
              </w:rPr>
              <w:t>教育支出</w:t>
            </w:r>
          </w:p>
        </w:tc>
        <w:tc>
          <w:tcPr>
            <w:tcW w:w="1058" w:type="pct"/>
            <w:tcBorders>
              <w:top w:val="nil"/>
              <w:left w:val="nil"/>
              <w:bottom w:val="single" w:color="auto" w:sz="4" w:space="0"/>
              <w:right w:val="single" w:color="auto" w:sz="4" w:space="0"/>
            </w:tcBorders>
            <w:shd w:val="clear" w:color="auto" w:fill="auto"/>
            <w:noWrap/>
            <w:vAlign w:val="center"/>
          </w:tcPr>
          <w:p>
            <w:pPr>
              <w:spacing w:line="200" w:lineRule="exact"/>
              <w:jc w:val="right"/>
              <w:rPr>
                <w:rFonts w:ascii="宋体" w:hAnsi="宋体" w:cs="Arial"/>
                <w:b/>
                <w:bCs/>
                <w:sz w:val="15"/>
                <w:szCs w:val="15"/>
              </w:rPr>
            </w:pPr>
            <w:r>
              <w:rPr>
                <w:rFonts w:hint="eastAsia" w:cs="Arial"/>
                <w:b/>
                <w:bCs/>
                <w:sz w:val="15"/>
                <w:szCs w:val="15"/>
              </w:rPr>
              <w:t>7,468.02</w:t>
            </w:r>
          </w:p>
        </w:tc>
        <w:tc>
          <w:tcPr>
            <w:tcW w:w="1132" w:type="pct"/>
            <w:tcBorders>
              <w:top w:val="nil"/>
              <w:left w:val="nil"/>
              <w:bottom w:val="single" w:color="auto" w:sz="4" w:space="0"/>
              <w:right w:val="single" w:color="auto" w:sz="4" w:space="0"/>
            </w:tcBorders>
            <w:shd w:val="clear" w:color="auto" w:fill="auto"/>
            <w:noWrap/>
            <w:vAlign w:val="center"/>
          </w:tcPr>
          <w:p>
            <w:pPr>
              <w:spacing w:line="200" w:lineRule="exact"/>
              <w:jc w:val="right"/>
              <w:rPr>
                <w:rFonts w:ascii="宋体" w:hAnsi="宋体" w:cs="Arial"/>
                <w:b/>
                <w:bCs/>
                <w:sz w:val="15"/>
                <w:szCs w:val="15"/>
              </w:rPr>
            </w:pPr>
            <w:r>
              <w:rPr>
                <w:rFonts w:hint="eastAsia" w:cs="Arial"/>
                <w:b/>
                <w:bCs/>
                <w:sz w:val="15"/>
                <w:szCs w:val="15"/>
              </w:rPr>
              <w:t>5,294.74</w:t>
            </w:r>
          </w:p>
        </w:tc>
        <w:tc>
          <w:tcPr>
            <w:tcW w:w="958" w:type="pct"/>
            <w:tcBorders>
              <w:top w:val="nil"/>
              <w:left w:val="nil"/>
              <w:bottom w:val="single" w:color="auto" w:sz="4" w:space="0"/>
              <w:right w:val="single" w:color="auto" w:sz="4" w:space="0"/>
            </w:tcBorders>
            <w:shd w:val="clear" w:color="auto" w:fill="auto"/>
            <w:noWrap/>
            <w:vAlign w:val="center"/>
          </w:tcPr>
          <w:p>
            <w:pPr>
              <w:spacing w:line="200" w:lineRule="exact"/>
              <w:jc w:val="right"/>
              <w:rPr>
                <w:rFonts w:ascii="宋体" w:hAnsi="宋体" w:cs="Arial"/>
                <w:b/>
                <w:bCs/>
                <w:sz w:val="15"/>
                <w:szCs w:val="15"/>
              </w:rPr>
            </w:pPr>
            <w:r>
              <w:rPr>
                <w:rFonts w:hint="eastAsia" w:cs="Arial"/>
                <w:b/>
                <w:bCs/>
                <w:sz w:val="15"/>
                <w:szCs w:val="15"/>
              </w:rPr>
              <w:t>2,173.28</w:t>
            </w:r>
          </w:p>
        </w:tc>
      </w:tr>
      <w:tr>
        <w:tblPrEx>
          <w:tblCellMar>
            <w:top w:w="0" w:type="dxa"/>
            <w:left w:w="108" w:type="dxa"/>
            <w:bottom w:w="0" w:type="dxa"/>
            <w:right w:w="108" w:type="dxa"/>
          </w:tblCellMar>
        </w:tblPrEx>
        <w:trPr>
          <w:trHeight w:val="284" w:hRule="exact"/>
          <w:jc w:val="center"/>
        </w:trPr>
        <w:tc>
          <w:tcPr>
            <w:tcW w:w="647" w:type="pc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cs="Arial"/>
                <w:b/>
                <w:bCs/>
                <w:kern w:val="0"/>
                <w:sz w:val="15"/>
                <w:szCs w:val="15"/>
              </w:rPr>
            </w:pPr>
            <w:r>
              <w:rPr>
                <w:rFonts w:hint="eastAsia" w:ascii="宋体" w:hAnsi="宋体" w:cs="Arial"/>
                <w:b/>
                <w:bCs/>
                <w:kern w:val="0"/>
                <w:sz w:val="15"/>
                <w:szCs w:val="15"/>
              </w:rPr>
              <w:t>20508</w:t>
            </w:r>
          </w:p>
        </w:tc>
        <w:tc>
          <w:tcPr>
            <w:tcW w:w="1205" w:type="pct"/>
            <w:tcBorders>
              <w:top w:val="nil"/>
              <w:left w:val="nil"/>
              <w:bottom w:val="single" w:color="auto" w:sz="4" w:space="0"/>
              <w:right w:val="single" w:color="auto" w:sz="4" w:space="0"/>
            </w:tcBorders>
            <w:shd w:val="clear" w:color="auto" w:fill="auto"/>
            <w:vAlign w:val="center"/>
          </w:tcPr>
          <w:p>
            <w:pPr>
              <w:spacing w:line="200" w:lineRule="exact"/>
              <w:rPr>
                <w:rFonts w:ascii="宋体" w:hAnsi="宋体" w:cs="Arial"/>
                <w:b/>
                <w:bCs/>
                <w:sz w:val="15"/>
                <w:szCs w:val="15"/>
              </w:rPr>
            </w:pPr>
            <w:r>
              <w:rPr>
                <w:rFonts w:hint="eastAsia" w:cs="Arial"/>
                <w:b/>
                <w:bCs/>
                <w:sz w:val="15"/>
                <w:szCs w:val="15"/>
              </w:rPr>
              <w:t>进修及培训</w:t>
            </w:r>
          </w:p>
        </w:tc>
        <w:tc>
          <w:tcPr>
            <w:tcW w:w="1058" w:type="pct"/>
            <w:tcBorders>
              <w:top w:val="nil"/>
              <w:left w:val="nil"/>
              <w:bottom w:val="single" w:color="auto" w:sz="4" w:space="0"/>
              <w:right w:val="single" w:color="auto" w:sz="4" w:space="0"/>
            </w:tcBorders>
            <w:shd w:val="clear" w:color="auto" w:fill="auto"/>
            <w:noWrap/>
            <w:vAlign w:val="center"/>
          </w:tcPr>
          <w:p>
            <w:pPr>
              <w:spacing w:line="200" w:lineRule="exact"/>
              <w:jc w:val="right"/>
              <w:rPr>
                <w:rFonts w:ascii="宋体" w:hAnsi="宋体" w:cs="Arial"/>
                <w:b/>
                <w:bCs/>
                <w:sz w:val="15"/>
                <w:szCs w:val="15"/>
              </w:rPr>
            </w:pPr>
            <w:r>
              <w:rPr>
                <w:rFonts w:hint="eastAsia" w:cs="Arial"/>
                <w:b/>
                <w:bCs/>
                <w:sz w:val="15"/>
                <w:szCs w:val="15"/>
              </w:rPr>
              <w:t>7,468.02</w:t>
            </w:r>
          </w:p>
        </w:tc>
        <w:tc>
          <w:tcPr>
            <w:tcW w:w="1132" w:type="pct"/>
            <w:tcBorders>
              <w:top w:val="nil"/>
              <w:left w:val="nil"/>
              <w:bottom w:val="single" w:color="auto" w:sz="4" w:space="0"/>
              <w:right w:val="single" w:color="auto" w:sz="4" w:space="0"/>
            </w:tcBorders>
            <w:shd w:val="clear" w:color="auto" w:fill="auto"/>
            <w:noWrap/>
            <w:vAlign w:val="center"/>
          </w:tcPr>
          <w:p>
            <w:pPr>
              <w:spacing w:line="200" w:lineRule="exact"/>
              <w:jc w:val="right"/>
              <w:rPr>
                <w:rFonts w:ascii="宋体" w:hAnsi="宋体" w:cs="Arial"/>
                <w:b/>
                <w:bCs/>
                <w:sz w:val="15"/>
                <w:szCs w:val="15"/>
              </w:rPr>
            </w:pPr>
            <w:r>
              <w:rPr>
                <w:rFonts w:hint="eastAsia" w:cs="Arial"/>
                <w:b/>
                <w:bCs/>
                <w:sz w:val="15"/>
                <w:szCs w:val="15"/>
              </w:rPr>
              <w:t>5,294.74</w:t>
            </w:r>
          </w:p>
        </w:tc>
        <w:tc>
          <w:tcPr>
            <w:tcW w:w="958" w:type="pct"/>
            <w:tcBorders>
              <w:top w:val="nil"/>
              <w:left w:val="nil"/>
              <w:bottom w:val="single" w:color="auto" w:sz="4" w:space="0"/>
              <w:right w:val="single" w:color="auto" w:sz="4" w:space="0"/>
            </w:tcBorders>
            <w:shd w:val="clear" w:color="auto" w:fill="auto"/>
            <w:noWrap/>
            <w:vAlign w:val="center"/>
          </w:tcPr>
          <w:p>
            <w:pPr>
              <w:spacing w:line="200" w:lineRule="exact"/>
              <w:jc w:val="right"/>
              <w:rPr>
                <w:rFonts w:ascii="宋体" w:hAnsi="宋体" w:cs="Arial"/>
                <w:b/>
                <w:bCs/>
                <w:sz w:val="15"/>
                <w:szCs w:val="15"/>
              </w:rPr>
            </w:pPr>
            <w:r>
              <w:rPr>
                <w:rFonts w:hint="eastAsia" w:cs="Arial"/>
                <w:b/>
                <w:bCs/>
                <w:sz w:val="15"/>
                <w:szCs w:val="15"/>
              </w:rPr>
              <w:t>2,173.28</w:t>
            </w:r>
          </w:p>
        </w:tc>
      </w:tr>
      <w:tr>
        <w:tblPrEx>
          <w:tblCellMar>
            <w:top w:w="0" w:type="dxa"/>
            <w:left w:w="108" w:type="dxa"/>
            <w:bottom w:w="0" w:type="dxa"/>
            <w:right w:w="108" w:type="dxa"/>
          </w:tblCellMar>
        </w:tblPrEx>
        <w:trPr>
          <w:trHeight w:val="284" w:hRule="exact"/>
          <w:jc w:val="center"/>
        </w:trPr>
        <w:tc>
          <w:tcPr>
            <w:tcW w:w="647" w:type="pc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cs="Arial"/>
                <w:kern w:val="0"/>
                <w:sz w:val="15"/>
                <w:szCs w:val="15"/>
              </w:rPr>
            </w:pPr>
            <w:r>
              <w:rPr>
                <w:rFonts w:hint="eastAsia" w:ascii="宋体" w:hAnsi="宋体" w:cs="Arial"/>
                <w:kern w:val="0"/>
                <w:sz w:val="15"/>
                <w:szCs w:val="15"/>
              </w:rPr>
              <w:t>2050802</w:t>
            </w:r>
          </w:p>
        </w:tc>
        <w:tc>
          <w:tcPr>
            <w:tcW w:w="1205" w:type="pct"/>
            <w:tcBorders>
              <w:top w:val="nil"/>
              <w:left w:val="nil"/>
              <w:bottom w:val="single" w:color="auto" w:sz="4" w:space="0"/>
              <w:right w:val="single" w:color="auto" w:sz="4" w:space="0"/>
            </w:tcBorders>
            <w:shd w:val="clear" w:color="auto" w:fill="auto"/>
            <w:vAlign w:val="center"/>
          </w:tcPr>
          <w:p>
            <w:pPr>
              <w:spacing w:line="200" w:lineRule="exact"/>
              <w:rPr>
                <w:rFonts w:ascii="宋体" w:hAnsi="宋体" w:cs="Arial"/>
                <w:sz w:val="15"/>
                <w:szCs w:val="15"/>
              </w:rPr>
            </w:pPr>
            <w:r>
              <w:rPr>
                <w:rFonts w:hint="eastAsia" w:cs="Arial"/>
                <w:sz w:val="15"/>
                <w:szCs w:val="15"/>
              </w:rPr>
              <w:t xml:space="preserve">  干部教育</w:t>
            </w:r>
          </w:p>
        </w:tc>
        <w:tc>
          <w:tcPr>
            <w:tcW w:w="1058" w:type="pct"/>
            <w:tcBorders>
              <w:top w:val="nil"/>
              <w:left w:val="nil"/>
              <w:bottom w:val="single" w:color="auto" w:sz="4" w:space="0"/>
              <w:right w:val="single" w:color="auto" w:sz="4" w:space="0"/>
            </w:tcBorders>
            <w:shd w:val="clear" w:color="auto" w:fill="auto"/>
            <w:noWrap/>
            <w:vAlign w:val="center"/>
          </w:tcPr>
          <w:p>
            <w:pPr>
              <w:spacing w:line="200" w:lineRule="exact"/>
              <w:jc w:val="right"/>
              <w:rPr>
                <w:rFonts w:ascii="宋体" w:hAnsi="宋体" w:cs="Arial"/>
                <w:sz w:val="15"/>
                <w:szCs w:val="15"/>
              </w:rPr>
            </w:pPr>
            <w:r>
              <w:rPr>
                <w:rFonts w:hint="eastAsia" w:cs="Arial"/>
                <w:sz w:val="15"/>
                <w:szCs w:val="15"/>
              </w:rPr>
              <w:t>7,468.02</w:t>
            </w:r>
          </w:p>
        </w:tc>
        <w:tc>
          <w:tcPr>
            <w:tcW w:w="1132" w:type="pct"/>
            <w:tcBorders>
              <w:top w:val="nil"/>
              <w:left w:val="nil"/>
              <w:bottom w:val="single" w:color="auto" w:sz="4" w:space="0"/>
              <w:right w:val="single" w:color="auto" w:sz="4" w:space="0"/>
            </w:tcBorders>
            <w:shd w:val="clear" w:color="auto" w:fill="auto"/>
            <w:noWrap/>
            <w:vAlign w:val="center"/>
          </w:tcPr>
          <w:p>
            <w:pPr>
              <w:spacing w:line="200" w:lineRule="exact"/>
              <w:jc w:val="right"/>
              <w:rPr>
                <w:rFonts w:ascii="宋体" w:hAnsi="宋体" w:cs="Arial"/>
                <w:sz w:val="15"/>
                <w:szCs w:val="15"/>
              </w:rPr>
            </w:pPr>
            <w:r>
              <w:rPr>
                <w:rFonts w:hint="eastAsia" w:cs="Arial"/>
                <w:sz w:val="15"/>
                <w:szCs w:val="15"/>
              </w:rPr>
              <w:t>5,294.74</w:t>
            </w:r>
          </w:p>
        </w:tc>
        <w:tc>
          <w:tcPr>
            <w:tcW w:w="958" w:type="pct"/>
            <w:tcBorders>
              <w:top w:val="nil"/>
              <w:left w:val="nil"/>
              <w:bottom w:val="single" w:color="auto" w:sz="4" w:space="0"/>
              <w:right w:val="single" w:color="auto" w:sz="4" w:space="0"/>
            </w:tcBorders>
            <w:shd w:val="clear" w:color="auto" w:fill="auto"/>
            <w:noWrap/>
            <w:vAlign w:val="center"/>
          </w:tcPr>
          <w:p>
            <w:pPr>
              <w:spacing w:line="200" w:lineRule="exact"/>
              <w:jc w:val="right"/>
              <w:rPr>
                <w:rFonts w:ascii="宋体" w:hAnsi="宋体" w:cs="Arial"/>
                <w:sz w:val="15"/>
                <w:szCs w:val="15"/>
              </w:rPr>
            </w:pPr>
            <w:r>
              <w:rPr>
                <w:rFonts w:hint="eastAsia" w:cs="Arial"/>
                <w:sz w:val="15"/>
                <w:szCs w:val="15"/>
              </w:rPr>
              <w:t>2,173.28</w:t>
            </w:r>
          </w:p>
        </w:tc>
      </w:tr>
      <w:tr>
        <w:tblPrEx>
          <w:tblCellMar>
            <w:top w:w="0" w:type="dxa"/>
            <w:left w:w="108" w:type="dxa"/>
            <w:bottom w:w="0" w:type="dxa"/>
            <w:right w:w="108" w:type="dxa"/>
          </w:tblCellMar>
        </w:tblPrEx>
        <w:trPr>
          <w:trHeight w:val="284" w:hRule="exact"/>
          <w:jc w:val="center"/>
        </w:trPr>
        <w:tc>
          <w:tcPr>
            <w:tcW w:w="647" w:type="pc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cs="Arial"/>
                <w:b/>
                <w:bCs/>
                <w:kern w:val="0"/>
                <w:sz w:val="15"/>
                <w:szCs w:val="15"/>
              </w:rPr>
            </w:pPr>
            <w:r>
              <w:rPr>
                <w:rFonts w:hint="eastAsia" w:ascii="宋体" w:hAnsi="宋体" w:cs="Arial"/>
                <w:b/>
                <w:bCs/>
                <w:kern w:val="0"/>
                <w:sz w:val="15"/>
                <w:szCs w:val="15"/>
              </w:rPr>
              <w:t>206</w:t>
            </w:r>
          </w:p>
        </w:tc>
        <w:tc>
          <w:tcPr>
            <w:tcW w:w="1205" w:type="pct"/>
            <w:tcBorders>
              <w:top w:val="nil"/>
              <w:left w:val="nil"/>
              <w:bottom w:val="single" w:color="auto" w:sz="4" w:space="0"/>
              <w:right w:val="single" w:color="auto" w:sz="4" w:space="0"/>
            </w:tcBorders>
            <w:shd w:val="clear" w:color="auto" w:fill="auto"/>
            <w:vAlign w:val="center"/>
          </w:tcPr>
          <w:p>
            <w:pPr>
              <w:spacing w:line="200" w:lineRule="exact"/>
              <w:rPr>
                <w:rFonts w:ascii="宋体" w:hAnsi="宋体" w:cs="Arial"/>
                <w:b/>
                <w:bCs/>
                <w:sz w:val="15"/>
                <w:szCs w:val="15"/>
              </w:rPr>
            </w:pPr>
            <w:r>
              <w:rPr>
                <w:rFonts w:hint="eastAsia" w:cs="Arial"/>
                <w:b/>
                <w:bCs/>
                <w:sz w:val="15"/>
                <w:szCs w:val="15"/>
              </w:rPr>
              <w:t>科学技术支出</w:t>
            </w:r>
          </w:p>
        </w:tc>
        <w:tc>
          <w:tcPr>
            <w:tcW w:w="1058" w:type="pct"/>
            <w:tcBorders>
              <w:top w:val="nil"/>
              <w:left w:val="nil"/>
              <w:bottom w:val="single" w:color="auto" w:sz="4" w:space="0"/>
              <w:right w:val="single" w:color="auto" w:sz="4" w:space="0"/>
            </w:tcBorders>
            <w:shd w:val="clear" w:color="auto" w:fill="auto"/>
            <w:noWrap/>
            <w:vAlign w:val="center"/>
          </w:tcPr>
          <w:p>
            <w:pPr>
              <w:spacing w:line="200" w:lineRule="exact"/>
              <w:jc w:val="right"/>
              <w:rPr>
                <w:rFonts w:ascii="宋体" w:hAnsi="宋体" w:cs="Arial"/>
                <w:b/>
                <w:bCs/>
                <w:sz w:val="15"/>
                <w:szCs w:val="15"/>
              </w:rPr>
            </w:pPr>
            <w:r>
              <w:rPr>
                <w:rFonts w:hint="eastAsia" w:cs="Arial"/>
                <w:b/>
                <w:bCs/>
                <w:sz w:val="15"/>
                <w:szCs w:val="15"/>
              </w:rPr>
              <w:t>2.66</w:t>
            </w:r>
          </w:p>
        </w:tc>
        <w:tc>
          <w:tcPr>
            <w:tcW w:w="1132" w:type="pct"/>
            <w:tcBorders>
              <w:top w:val="nil"/>
              <w:left w:val="nil"/>
              <w:bottom w:val="single" w:color="auto" w:sz="4" w:space="0"/>
              <w:right w:val="single" w:color="auto" w:sz="4" w:space="0"/>
            </w:tcBorders>
            <w:shd w:val="clear" w:color="auto" w:fill="auto"/>
            <w:noWrap/>
            <w:vAlign w:val="center"/>
          </w:tcPr>
          <w:p>
            <w:pPr>
              <w:spacing w:line="200" w:lineRule="exact"/>
              <w:jc w:val="right"/>
              <w:rPr>
                <w:rFonts w:ascii="宋体" w:hAnsi="宋体" w:cs="Arial"/>
                <w:b/>
                <w:bCs/>
                <w:sz w:val="15"/>
                <w:szCs w:val="15"/>
              </w:rPr>
            </w:pPr>
            <w:r>
              <w:rPr>
                <w:rFonts w:hint="eastAsia" w:cs="Arial"/>
                <w:b/>
                <w:bCs/>
                <w:sz w:val="15"/>
                <w:szCs w:val="15"/>
              </w:rPr>
              <w:t>　</w:t>
            </w:r>
          </w:p>
        </w:tc>
        <w:tc>
          <w:tcPr>
            <w:tcW w:w="958" w:type="pct"/>
            <w:tcBorders>
              <w:top w:val="nil"/>
              <w:left w:val="nil"/>
              <w:bottom w:val="single" w:color="auto" w:sz="4" w:space="0"/>
              <w:right w:val="single" w:color="auto" w:sz="4" w:space="0"/>
            </w:tcBorders>
            <w:shd w:val="clear" w:color="auto" w:fill="auto"/>
            <w:noWrap/>
            <w:vAlign w:val="center"/>
          </w:tcPr>
          <w:p>
            <w:pPr>
              <w:spacing w:line="200" w:lineRule="exact"/>
              <w:jc w:val="right"/>
              <w:rPr>
                <w:rFonts w:ascii="宋体" w:hAnsi="宋体" w:cs="Arial"/>
                <w:b/>
                <w:bCs/>
                <w:sz w:val="15"/>
                <w:szCs w:val="15"/>
              </w:rPr>
            </w:pPr>
            <w:r>
              <w:rPr>
                <w:rFonts w:hint="eastAsia" w:cs="Arial"/>
                <w:b/>
                <w:bCs/>
                <w:sz w:val="15"/>
                <w:szCs w:val="15"/>
              </w:rPr>
              <w:t>2.66</w:t>
            </w:r>
          </w:p>
        </w:tc>
      </w:tr>
      <w:tr>
        <w:tblPrEx>
          <w:tblCellMar>
            <w:top w:w="0" w:type="dxa"/>
            <w:left w:w="108" w:type="dxa"/>
            <w:bottom w:w="0" w:type="dxa"/>
            <w:right w:w="108" w:type="dxa"/>
          </w:tblCellMar>
        </w:tblPrEx>
        <w:trPr>
          <w:trHeight w:val="284" w:hRule="exact"/>
          <w:jc w:val="center"/>
        </w:trPr>
        <w:tc>
          <w:tcPr>
            <w:tcW w:w="647" w:type="pc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cs="Arial"/>
                <w:b/>
                <w:bCs/>
                <w:kern w:val="0"/>
                <w:sz w:val="15"/>
                <w:szCs w:val="15"/>
              </w:rPr>
            </w:pPr>
            <w:r>
              <w:rPr>
                <w:rFonts w:hint="eastAsia" w:ascii="宋体" w:hAnsi="宋体" w:cs="Arial"/>
                <w:b/>
                <w:bCs/>
                <w:kern w:val="0"/>
                <w:sz w:val="15"/>
                <w:szCs w:val="15"/>
              </w:rPr>
              <w:t>20604</w:t>
            </w:r>
          </w:p>
        </w:tc>
        <w:tc>
          <w:tcPr>
            <w:tcW w:w="1205" w:type="pct"/>
            <w:tcBorders>
              <w:top w:val="nil"/>
              <w:left w:val="nil"/>
              <w:bottom w:val="single" w:color="auto" w:sz="4" w:space="0"/>
              <w:right w:val="single" w:color="auto" w:sz="4" w:space="0"/>
            </w:tcBorders>
            <w:shd w:val="clear" w:color="auto" w:fill="auto"/>
            <w:vAlign w:val="center"/>
          </w:tcPr>
          <w:p>
            <w:pPr>
              <w:spacing w:line="200" w:lineRule="exact"/>
              <w:rPr>
                <w:rFonts w:ascii="宋体" w:hAnsi="宋体" w:cs="Arial"/>
                <w:b/>
                <w:bCs/>
                <w:sz w:val="15"/>
                <w:szCs w:val="15"/>
              </w:rPr>
            </w:pPr>
            <w:r>
              <w:rPr>
                <w:rFonts w:hint="eastAsia" w:cs="Arial"/>
                <w:b/>
                <w:bCs/>
                <w:sz w:val="15"/>
                <w:szCs w:val="15"/>
              </w:rPr>
              <w:t>技术研究与开发</w:t>
            </w:r>
          </w:p>
        </w:tc>
        <w:tc>
          <w:tcPr>
            <w:tcW w:w="1058" w:type="pct"/>
            <w:tcBorders>
              <w:top w:val="nil"/>
              <w:left w:val="nil"/>
              <w:bottom w:val="single" w:color="auto" w:sz="4" w:space="0"/>
              <w:right w:val="single" w:color="auto" w:sz="4" w:space="0"/>
            </w:tcBorders>
            <w:shd w:val="clear" w:color="auto" w:fill="auto"/>
            <w:noWrap/>
            <w:vAlign w:val="center"/>
          </w:tcPr>
          <w:p>
            <w:pPr>
              <w:spacing w:line="200" w:lineRule="exact"/>
              <w:jc w:val="right"/>
              <w:rPr>
                <w:rFonts w:ascii="宋体" w:hAnsi="宋体" w:cs="Arial"/>
                <w:b/>
                <w:bCs/>
                <w:sz w:val="15"/>
                <w:szCs w:val="15"/>
              </w:rPr>
            </w:pPr>
            <w:r>
              <w:rPr>
                <w:rFonts w:hint="eastAsia" w:cs="Arial"/>
                <w:b/>
                <w:bCs/>
                <w:sz w:val="15"/>
                <w:szCs w:val="15"/>
              </w:rPr>
              <w:t>2.66</w:t>
            </w:r>
          </w:p>
        </w:tc>
        <w:tc>
          <w:tcPr>
            <w:tcW w:w="1132" w:type="pct"/>
            <w:tcBorders>
              <w:top w:val="nil"/>
              <w:left w:val="nil"/>
              <w:bottom w:val="single" w:color="auto" w:sz="4" w:space="0"/>
              <w:right w:val="single" w:color="auto" w:sz="4" w:space="0"/>
            </w:tcBorders>
            <w:shd w:val="clear" w:color="auto" w:fill="auto"/>
            <w:noWrap/>
            <w:vAlign w:val="center"/>
          </w:tcPr>
          <w:p>
            <w:pPr>
              <w:spacing w:line="200" w:lineRule="exact"/>
              <w:jc w:val="right"/>
              <w:rPr>
                <w:rFonts w:ascii="宋体" w:hAnsi="宋体" w:cs="Arial"/>
                <w:b/>
                <w:bCs/>
                <w:sz w:val="15"/>
                <w:szCs w:val="15"/>
              </w:rPr>
            </w:pPr>
            <w:r>
              <w:rPr>
                <w:rFonts w:hint="eastAsia" w:cs="Arial"/>
                <w:b/>
                <w:bCs/>
                <w:sz w:val="15"/>
                <w:szCs w:val="15"/>
              </w:rPr>
              <w:t>　</w:t>
            </w:r>
          </w:p>
        </w:tc>
        <w:tc>
          <w:tcPr>
            <w:tcW w:w="958" w:type="pct"/>
            <w:tcBorders>
              <w:top w:val="nil"/>
              <w:left w:val="nil"/>
              <w:bottom w:val="single" w:color="auto" w:sz="4" w:space="0"/>
              <w:right w:val="single" w:color="auto" w:sz="4" w:space="0"/>
            </w:tcBorders>
            <w:shd w:val="clear" w:color="auto" w:fill="auto"/>
            <w:noWrap/>
            <w:vAlign w:val="center"/>
          </w:tcPr>
          <w:p>
            <w:pPr>
              <w:spacing w:line="200" w:lineRule="exact"/>
              <w:jc w:val="right"/>
              <w:rPr>
                <w:rFonts w:ascii="宋体" w:hAnsi="宋体" w:cs="Arial"/>
                <w:b/>
                <w:bCs/>
                <w:sz w:val="15"/>
                <w:szCs w:val="15"/>
              </w:rPr>
            </w:pPr>
            <w:r>
              <w:rPr>
                <w:rFonts w:hint="eastAsia" w:cs="Arial"/>
                <w:b/>
                <w:bCs/>
                <w:sz w:val="15"/>
                <w:szCs w:val="15"/>
              </w:rPr>
              <w:t>2.66</w:t>
            </w:r>
          </w:p>
        </w:tc>
      </w:tr>
      <w:tr>
        <w:tblPrEx>
          <w:tblCellMar>
            <w:top w:w="0" w:type="dxa"/>
            <w:left w:w="108" w:type="dxa"/>
            <w:bottom w:w="0" w:type="dxa"/>
            <w:right w:w="108" w:type="dxa"/>
          </w:tblCellMar>
        </w:tblPrEx>
        <w:trPr>
          <w:trHeight w:val="284" w:hRule="exact"/>
          <w:jc w:val="center"/>
        </w:trPr>
        <w:tc>
          <w:tcPr>
            <w:tcW w:w="647" w:type="pc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cs="Arial"/>
                <w:kern w:val="0"/>
                <w:sz w:val="15"/>
                <w:szCs w:val="15"/>
              </w:rPr>
            </w:pPr>
            <w:r>
              <w:rPr>
                <w:rFonts w:hint="eastAsia" w:ascii="宋体" w:hAnsi="宋体" w:cs="Arial"/>
                <w:kern w:val="0"/>
                <w:sz w:val="15"/>
                <w:szCs w:val="15"/>
              </w:rPr>
              <w:t>2060402</w:t>
            </w:r>
          </w:p>
        </w:tc>
        <w:tc>
          <w:tcPr>
            <w:tcW w:w="1205" w:type="pct"/>
            <w:tcBorders>
              <w:top w:val="nil"/>
              <w:left w:val="nil"/>
              <w:bottom w:val="single" w:color="auto" w:sz="4" w:space="0"/>
              <w:right w:val="single" w:color="auto" w:sz="4" w:space="0"/>
            </w:tcBorders>
            <w:shd w:val="clear" w:color="auto" w:fill="auto"/>
            <w:vAlign w:val="center"/>
          </w:tcPr>
          <w:p>
            <w:pPr>
              <w:spacing w:line="200" w:lineRule="exact"/>
              <w:rPr>
                <w:rFonts w:ascii="宋体" w:hAnsi="宋体" w:cs="Arial"/>
                <w:sz w:val="15"/>
                <w:szCs w:val="15"/>
              </w:rPr>
            </w:pPr>
            <w:r>
              <w:rPr>
                <w:rFonts w:hint="eastAsia" w:cs="Arial"/>
                <w:sz w:val="15"/>
                <w:szCs w:val="15"/>
              </w:rPr>
              <w:t xml:space="preserve">  应用技术研究与开发</w:t>
            </w:r>
          </w:p>
        </w:tc>
        <w:tc>
          <w:tcPr>
            <w:tcW w:w="1058" w:type="pct"/>
            <w:tcBorders>
              <w:top w:val="nil"/>
              <w:left w:val="nil"/>
              <w:bottom w:val="single" w:color="auto" w:sz="4" w:space="0"/>
              <w:right w:val="single" w:color="auto" w:sz="4" w:space="0"/>
            </w:tcBorders>
            <w:shd w:val="clear" w:color="auto" w:fill="auto"/>
            <w:noWrap/>
            <w:vAlign w:val="center"/>
          </w:tcPr>
          <w:p>
            <w:pPr>
              <w:spacing w:line="200" w:lineRule="exact"/>
              <w:jc w:val="right"/>
              <w:rPr>
                <w:rFonts w:ascii="宋体" w:hAnsi="宋体" w:cs="Arial"/>
                <w:sz w:val="15"/>
                <w:szCs w:val="15"/>
              </w:rPr>
            </w:pPr>
            <w:r>
              <w:rPr>
                <w:rFonts w:hint="eastAsia" w:cs="Arial"/>
                <w:sz w:val="15"/>
                <w:szCs w:val="15"/>
              </w:rPr>
              <w:t>2.66</w:t>
            </w:r>
          </w:p>
        </w:tc>
        <w:tc>
          <w:tcPr>
            <w:tcW w:w="1132" w:type="pct"/>
            <w:tcBorders>
              <w:top w:val="nil"/>
              <w:left w:val="nil"/>
              <w:bottom w:val="single" w:color="auto" w:sz="4" w:space="0"/>
              <w:right w:val="single" w:color="auto" w:sz="4" w:space="0"/>
            </w:tcBorders>
            <w:shd w:val="clear" w:color="auto" w:fill="auto"/>
            <w:noWrap/>
            <w:vAlign w:val="center"/>
          </w:tcPr>
          <w:p>
            <w:pPr>
              <w:spacing w:line="200" w:lineRule="exact"/>
              <w:jc w:val="right"/>
              <w:rPr>
                <w:rFonts w:ascii="宋体" w:hAnsi="宋体" w:cs="Arial"/>
                <w:sz w:val="15"/>
                <w:szCs w:val="15"/>
              </w:rPr>
            </w:pPr>
            <w:r>
              <w:rPr>
                <w:rFonts w:hint="eastAsia" w:cs="Arial"/>
                <w:sz w:val="15"/>
                <w:szCs w:val="15"/>
              </w:rPr>
              <w:t>　</w:t>
            </w:r>
          </w:p>
        </w:tc>
        <w:tc>
          <w:tcPr>
            <w:tcW w:w="958" w:type="pct"/>
            <w:tcBorders>
              <w:top w:val="nil"/>
              <w:left w:val="nil"/>
              <w:bottom w:val="single" w:color="auto" w:sz="4" w:space="0"/>
              <w:right w:val="single" w:color="auto" w:sz="4" w:space="0"/>
            </w:tcBorders>
            <w:shd w:val="clear" w:color="auto" w:fill="auto"/>
            <w:noWrap/>
            <w:vAlign w:val="center"/>
          </w:tcPr>
          <w:p>
            <w:pPr>
              <w:spacing w:line="200" w:lineRule="exact"/>
              <w:jc w:val="right"/>
              <w:rPr>
                <w:rFonts w:ascii="宋体" w:hAnsi="宋体" w:cs="Arial"/>
                <w:sz w:val="15"/>
                <w:szCs w:val="15"/>
              </w:rPr>
            </w:pPr>
            <w:r>
              <w:rPr>
                <w:rFonts w:hint="eastAsia" w:cs="Arial"/>
                <w:sz w:val="15"/>
                <w:szCs w:val="15"/>
              </w:rPr>
              <w:t>2.66</w:t>
            </w:r>
          </w:p>
        </w:tc>
      </w:tr>
      <w:tr>
        <w:tblPrEx>
          <w:tblCellMar>
            <w:top w:w="0" w:type="dxa"/>
            <w:left w:w="108" w:type="dxa"/>
            <w:bottom w:w="0" w:type="dxa"/>
            <w:right w:w="108" w:type="dxa"/>
          </w:tblCellMar>
        </w:tblPrEx>
        <w:trPr>
          <w:trHeight w:val="284" w:hRule="exact"/>
          <w:jc w:val="center"/>
        </w:trPr>
        <w:tc>
          <w:tcPr>
            <w:tcW w:w="647" w:type="pc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cs="Arial"/>
                <w:b/>
                <w:bCs/>
                <w:kern w:val="0"/>
                <w:sz w:val="15"/>
                <w:szCs w:val="15"/>
              </w:rPr>
            </w:pPr>
            <w:r>
              <w:rPr>
                <w:rFonts w:hint="eastAsia" w:ascii="宋体" w:hAnsi="宋体" w:cs="Arial"/>
                <w:b/>
                <w:bCs/>
                <w:kern w:val="0"/>
                <w:sz w:val="15"/>
                <w:szCs w:val="15"/>
              </w:rPr>
              <w:t>208</w:t>
            </w:r>
          </w:p>
        </w:tc>
        <w:tc>
          <w:tcPr>
            <w:tcW w:w="1205" w:type="pct"/>
            <w:tcBorders>
              <w:top w:val="nil"/>
              <w:left w:val="nil"/>
              <w:bottom w:val="single" w:color="auto" w:sz="4" w:space="0"/>
              <w:right w:val="single" w:color="auto" w:sz="4" w:space="0"/>
            </w:tcBorders>
            <w:shd w:val="clear" w:color="auto" w:fill="auto"/>
            <w:vAlign w:val="center"/>
          </w:tcPr>
          <w:p>
            <w:pPr>
              <w:spacing w:line="200" w:lineRule="exact"/>
              <w:rPr>
                <w:rFonts w:ascii="宋体" w:hAnsi="宋体" w:cs="Arial"/>
                <w:b/>
                <w:bCs/>
                <w:sz w:val="15"/>
                <w:szCs w:val="15"/>
              </w:rPr>
            </w:pPr>
            <w:r>
              <w:rPr>
                <w:rFonts w:hint="eastAsia" w:cs="Arial"/>
                <w:b/>
                <w:bCs/>
                <w:sz w:val="15"/>
                <w:szCs w:val="15"/>
              </w:rPr>
              <w:t>社会保障和就业支出</w:t>
            </w:r>
          </w:p>
        </w:tc>
        <w:tc>
          <w:tcPr>
            <w:tcW w:w="1058" w:type="pct"/>
            <w:tcBorders>
              <w:top w:val="nil"/>
              <w:left w:val="nil"/>
              <w:bottom w:val="single" w:color="auto" w:sz="4" w:space="0"/>
              <w:right w:val="single" w:color="auto" w:sz="4" w:space="0"/>
            </w:tcBorders>
            <w:shd w:val="clear" w:color="auto" w:fill="auto"/>
            <w:noWrap/>
            <w:vAlign w:val="center"/>
          </w:tcPr>
          <w:p>
            <w:pPr>
              <w:spacing w:line="200" w:lineRule="exact"/>
              <w:jc w:val="right"/>
              <w:rPr>
                <w:rFonts w:ascii="宋体" w:hAnsi="宋体" w:cs="Arial"/>
                <w:b/>
                <w:bCs/>
                <w:sz w:val="15"/>
                <w:szCs w:val="15"/>
              </w:rPr>
            </w:pPr>
            <w:r>
              <w:rPr>
                <w:rFonts w:hint="eastAsia" w:cs="Arial"/>
                <w:b/>
                <w:bCs/>
                <w:sz w:val="15"/>
                <w:szCs w:val="15"/>
              </w:rPr>
              <w:t>324.37</w:t>
            </w:r>
          </w:p>
        </w:tc>
        <w:tc>
          <w:tcPr>
            <w:tcW w:w="1132" w:type="pct"/>
            <w:tcBorders>
              <w:top w:val="nil"/>
              <w:left w:val="nil"/>
              <w:bottom w:val="single" w:color="auto" w:sz="4" w:space="0"/>
              <w:right w:val="single" w:color="auto" w:sz="4" w:space="0"/>
            </w:tcBorders>
            <w:shd w:val="clear" w:color="auto" w:fill="auto"/>
            <w:noWrap/>
            <w:vAlign w:val="center"/>
          </w:tcPr>
          <w:p>
            <w:pPr>
              <w:spacing w:line="200" w:lineRule="exact"/>
              <w:jc w:val="right"/>
              <w:rPr>
                <w:rFonts w:ascii="宋体" w:hAnsi="宋体" w:cs="Arial"/>
                <w:b/>
                <w:bCs/>
                <w:sz w:val="15"/>
                <w:szCs w:val="15"/>
              </w:rPr>
            </w:pPr>
            <w:r>
              <w:rPr>
                <w:rFonts w:hint="eastAsia" w:cs="Arial"/>
                <w:b/>
                <w:bCs/>
                <w:sz w:val="15"/>
                <w:szCs w:val="15"/>
              </w:rPr>
              <w:t>324.37</w:t>
            </w:r>
          </w:p>
        </w:tc>
        <w:tc>
          <w:tcPr>
            <w:tcW w:w="958" w:type="pct"/>
            <w:tcBorders>
              <w:top w:val="nil"/>
              <w:left w:val="nil"/>
              <w:bottom w:val="single" w:color="auto" w:sz="4" w:space="0"/>
              <w:right w:val="single" w:color="auto" w:sz="4" w:space="0"/>
            </w:tcBorders>
            <w:shd w:val="clear" w:color="auto" w:fill="auto"/>
            <w:noWrap/>
            <w:vAlign w:val="center"/>
          </w:tcPr>
          <w:p>
            <w:pPr>
              <w:spacing w:line="200" w:lineRule="exact"/>
              <w:jc w:val="right"/>
              <w:rPr>
                <w:rFonts w:ascii="宋体" w:hAnsi="宋体" w:cs="Arial"/>
                <w:b/>
                <w:bCs/>
                <w:sz w:val="15"/>
                <w:szCs w:val="15"/>
              </w:rPr>
            </w:pPr>
            <w:r>
              <w:rPr>
                <w:rFonts w:hint="eastAsia" w:cs="Arial"/>
                <w:b/>
                <w:bCs/>
                <w:sz w:val="15"/>
                <w:szCs w:val="15"/>
              </w:rPr>
              <w:t>　</w:t>
            </w:r>
          </w:p>
        </w:tc>
      </w:tr>
      <w:tr>
        <w:tblPrEx>
          <w:tblCellMar>
            <w:top w:w="0" w:type="dxa"/>
            <w:left w:w="108" w:type="dxa"/>
            <w:bottom w:w="0" w:type="dxa"/>
            <w:right w:w="108" w:type="dxa"/>
          </w:tblCellMar>
        </w:tblPrEx>
        <w:trPr>
          <w:trHeight w:val="284" w:hRule="exact"/>
          <w:jc w:val="center"/>
        </w:trPr>
        <w:tc>
          <w:tcPr>
            <w:tcW w:w="647" w:type="pc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cs="Arial"/>
                <w:b/>
                <w:bCs/>
                <w:kern w:val="0"/>
                <w:sz w:val="15"/>
                <w:szCs w:val="15"/>
              </w:rPr>
            </w:pPr>
            <w:r>
              <w:rPr>
                <w:rFonts w:hint="eastAsia" w:ascii="宋体" w:hAnsi="宋体" w:cs="Arial"/>
                <w:b/>
                <w:bCs/>
                <w:kern w:val="0"/>
                <w:sz w:val="15"/>
                <w:szCs w:val="15"/>
              </w:rPr>
              <w:t>20805</w:t>
            </w:r>
          </w:p>
        </w:tc>
        <w:tc>
          <w:tcPr>
            <w:tcW w:w="1205" w:type="pct"/>
            <w:tcBorders>
              <w:top w:val="nil"/>
              <w:left w:val="nil"/>
              <w:bottom w:val="single" w:color="auto" w:sz="4" w:space="0"/>
              <w:right w:val="single" w:color="auto" w:sz="4" w:space="0"/>
            </w:tcBorders>
            <w:shd w:val="clear" w:color="auto" w:fill="auto"/>
            <w:vAlign w:val="center"/>
          </w:tcPr>
          <w:p>
            <w:pPr>
              <w:spacing w:line="200" w:lineRule="exact"/>
              <w:rPr>
                <w:rFonts w:ascii="宋体" w:hAnsi="宋体" w:cs="Arial"/>
                <w:b/>
                <w:bCs/>
                <w:sz w:val="15"/>
                <w:szCs w:val="15"/>
              </w:rPr>
            </w:pPr>
            <w:r>
              <w:rPr>
                <w:rFonts w:hint="eastAsia" w:cs="Arial"/>
                <w:b/>
                <w:bCs/>
                <w:sz w:val="15"/>
                <w:szCs w:val="15"/>
              </w:rPr>
              <w:t>行政事业单位离退休</w:t>
            </w:r>
          </w:p>
        </w:tc>
        <w:tc>
          <w:tcPr>
            <w:tcW w:w="1058" w:type="pct"/>
            <w:tcBorders>
              <w:top w:val="nil"/>
              <w:left w:val="nil"/>
              <w:bottom w:val="single" w:color="auto" w:sz="4" w:space="0"/>
              <w:right w:val="single" w:color="auto" w:sz="4" w:space="0"/>
            </w:tcBorders>
            <w:shd w:val="clear" w:color="auto" w:fill="auto"/>
            <w:noWrap/>
            <w:vAlign w:val="center"/>
          </w:tcPr>
          <w:p>
            <w:pPr>
              <w:spacing w:line="200" w:lineRule="exact"/>
              <w:jc w:val="right"/>
              <w:rPr>
                <w:rFonts w:ascii="宋体" w:hAnsi="宋体" w:cs="Arial"/>
                <w:b/>
                <w:bCs/>
                <w:sz w:val="15"/>
                <w:szCs w:val="15"/>
              </w:rPr>
            </w:pPr>
            <w:r>
              <w:rPr>
                <w:rFonts w:hint="eastAsia" w:cs="Arial"/>
                <w:b/>
                <w:bCs/>
                <w:sz w:val="15"/>
                <w:szCs w:val="15"/>
              </w:rPr>
              <w:t>324.37</w:t>
            </w:r>
          </w:p>
        </w:tc>
        <w:tc>
          <w:tcPr>
            <w:tcW w:w="1132" w:type="pct"/>
            <w:tcBorders>
              <w:top w:val="nil"/>
              <w:left w:val="nil"/>
              <w:bottom w:val="single" w:color="auto" w:sz="4" w:space="0"/>
              <w:right w:val="single" w:color="auto" w:sz="4" w:space="0"/>
            </w:tcBorders>
            <w:shd w:val="clear" w:color="auto" w:fill="auto"/>
            <w:noWrap/>
            <w:vAlign w:val="center"/>
          </w:tcPr>
          <w:p>
            <w:pPr>
              <w:spacing w:line="200" w:lineRule="exact"/>
              <w:jc w:val="right"/>
              <w:rPr>
                <w:rFonts w:ascii="宋体" w:hAnsi="宋体" w:cs="Arial"/>
                <w:b/>
                <w:bCs/>
                <w:sz w:val="15"/>
                <w:szCs w:val="15"/>
              </w:rPr>
            </w:pPr>
            <w:r>
              <w:rPr>
                <w:rFonts w:hint="eastAsia" w:cs="Arial"/>
                <w:b/>
                <w:bCs/>
                <w:sz w:val="15"/>
                <w:szCs w:val="15"/>
              </w:rPr>
              <w:t>324.37</w:t>
            </w:r>
          </w:p>
        </w:tc>
        <w:tc>
          <w:tcPr>
            <w:tcW w:w="958" w:type="pct"/>
            <w:tcBorders>
              <w:top w:val="nil"/>
              <w:left w:val="nil"/>
              <w:bottom w:val="single" w:color="auto" w:sz="4" w:space="0"/>
              <w:right w:val="single" w:color="auto" w:sz="4" w:space="0"/>
            </w:tcBorders>
            <w:shd w:val="clear" w:color="auto" w:fill="auto"/>
            <w:noWrap/>
            <w:vAlign w:val="center"/>
          </w:tcPr>
          <w:p>
            <w:pPr>
              <w:spacing w:line="200" w:lineRule="exact"/>
              <w:jc w:val="right"/>
              <w:rPr>
                <w:rFonts w:ascii="宋体" w:hAnsi="宋体" w:cs="Arial"/>
                <w:b/>
                <w:bCs/>
                <w:sz w:val="15"/>
                <w:szCs w:val="15"/>
              </w:rPr>
            </w:pPr>
            <w:r>
              <w:rPr>
                <w:rFonts w:hint="eastAsia" w:cs="Arial"/>
                <w:b/>
                <w:bCs/>
                <w:sz w:val="15"/>
                <w:szCs w:val="15"/>
              </w:rPr>
              <w:t>　</w:t>
            </w:r>
          </w:p>
        </w:tc>
      </w:tr>
      <w:tr>
        <w:tblPrEx>
          <w:tblCellMar>
            <w:top w:w="0" w:type="dxa"/>
            <w:left w:w="108" w:type="dxa"/>
            <w:bottom w:w="0" w:type="dxa"/>
            <w:right w:w="108" w:type="dxa"/>
          </w:tblCellMar>
        </w:tblPrEx>
        <w:trPr>
          <w:trHeight w:val="284" w:hRule="exact"/>
          <w:jc w:val="center"/>
        </w:trPr>
        <w:tc>
          <w:tcPr>
            <w:tcW w:w="647" w:type="pc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cs="Arial"/>
                <w:kern w:val="0"/>
                <w:sz w:val="15"/>
                <w:szCs w:val="15"/>
              </w:rPr>
            </w:pPr>
            <w:r>
              <w:rPr>
                <w:rFonts w:hint="eastAsia" w:ascii="宋体" w:hAnsi="宋体" w:cs="Arial"/>
                <w:kern w:val="0"/>
                <w:sz w:val="15"/>
                <w:szCs w:val="15"/>
              </w:rPr>
              <w:t>2080505</w:t>
            </w:r>
          </w:p>
        </w:tc>
        <w:tc>
          <w:tcPr>
            <w:tcW w:w="1205" w:type="pct"/>
            <w:tcBorders>
              <w:top w:val="nil"/>
              <w:left w:val="nil"/>
              <w:bottom w:val="single" w:color="auto" w:sz="4" w:space="0"/>
              <w:right w:val="single" w:color="auto" w:sz="4" w:space="0"/>
            </w:tcBorders>
            <w:shd w:val="clear" w:color="auto" w:fill="auto"/>
            <w:vAlign w:val="center"/>
          </w:tcPr>
          <w:p>
            <w:pPr>
              <w:spacing w:line="200" w:lineRule="exact"/>
              <w:rPr>
                <w:rFonts w:ascii="宋体" w:hAnsi="宋体" w:cs="Arial"/>
                <w:sz w:val="15"/>
                <w:szCs w:val="15"/>
              </w:rPr>
            </w:pPr>
            <w:r>
              <w:rPr>
                <w:rFonts w:hint="eastAsia" w:cs="Arial"/>
                <w:sz w:val="15"/>
                <w:szCs w:val="15"/>
              </w:rPr>
              <w:t xml:space="preserve">  机关事业单位基本养老保险缴费支出</w:t>
            </w:r>
          </w:p>
        </w:tc>
        <w:tc>
          <w:tcPr>
            <w:tcW w:w="1058" w:type="pct"/>
            <w:tcBorders>
              <w:top w:val="nil"/>
              <w:left w:val="nil"/>
              <w:bottom w:val="single" w:color="auto" w:sz="4" w:space="0"/>
              <w:right w:val="single" w:color="auto" w:sz="4" w:space="0"/>
            </w:tcBorders>
            <w:shd w:val="clear" w:color="auto" w:fill="auto"/>
            <w:noWrap/>
            <w:vAlign w:val="center"/>
          </w:tcPr>
          <w:p>
            <w:pPr>
              <w:spacing w:line="200" w:lineRule="exact"/>
              <w:jc w:val="right"/>
              <w:rPr>
                <w:rFonts w:ascii="宋体" w:hAnsi="宋体" w:cs="Arial"/>
                <w:sz w:val="15"/>
                <w:szCs w:val="15"/>
              </w:rPr>
            </w:pPr>
            <w:r>
              <w:rPr>
                <w:rFonts w:hint="eastAsia" w:cs="Arial"/>
                <w:sz w:val="15"/>
                <w:szCs w:val="15"/>
              </w:rPr>
              <w:t>324.37</w:t>
            </w:r>
          </w:p>
        </w:tc>
        <w:tc>
          <w:tcPr>
            <w:tcW w:w="1132" w:type="pct"/>
            <w:tcBorders>
              <w:top w:val="nil"/>
              <w:left w:val="nil"/>
              <w:bottom w:val="single" w:color="auto" w:sz="4" w:space="0"/>
              <w:right w:val="single" w:color="auto" w:sz="4" w:space="0"/>
            </w:tcBorders>
            <w:shd w:val="clear" w:color="auto" w:fill="auto"/>
            <w:noWrap/>
            <w:vAlign w:val="center"/>
          </w:tcPr>
          <w:p>
            <w:pPr>
              <w:spacing w:line="200" w:lineRule="exact"/>
              <w:jc w:val="right"/>
              <w:rPr>
                <w:rFonts w:ascii="宋体" w:hAnsi="宋体" w:cs="Arial"/>
                <w:sz w:val="15"/>
                <w:szCs w:val="15"/>
              </w:rPr>
            </w:pPr>
            <w:r>
              <w:rPr>
                <w:rFonts w:hint="eastAsia" w:cs="Arial"/>
                <w:sz w:val="15"/>
                <w:szCs w:val="15"/>
              </w:rPr>
              <w:t>324.37</w:t>
            </w:r>
          </w:p>
        </w:tc>
        <w:tc>
          <w:tcPr>
            <w:tcW w:w="958" w:type="pct"/>
            <w:tcBorders>
              <w:top w:val="nil"/>
              <w:left w:val="nil"/>
              <w:bottom w:val="single" w:color="auto" w:sz="4" w:space="0"/>
              <w:right w:val="single" w:color="auto" w:sz="4" w:space="0"/>
            </w:tcBorders>
            <w:shd w:val="clear" w:color="auto" w:fill="auto"/>
            <w:noWrap/>
            <w:vAlign w:val="center"/>
          </w:tcPr>
          <w:p>
            <w:pPr>
              <w:spacing w:line="200" w:lineRule="exact"/>
              <w:jc w:val="right"/>
              <w:rPr>
                <w:rFonts w:ascii="宋体" w:hAnsi="宋体" w:cs="Arial"/>
                <w:sz w:val="15"/>
                <w:szCs w:val="15"/>
              </w:rPr>
            </w:pPr>
            <w:r>
              <w:rPr>
                <w:rFonts w:hint="eastAsia" w:cs="Arial"/>
                <w:sz w:val="15"/>
                <w:szCs w:val="15"/>
              </w:rPr>
              <w:t>　</w:t>
            </w:r>
          </w:p>
        </w:tc>
      </w:tr>
      <w:tr>
        <w:tblPrEx>
          <w:tblCellMar>
            <w:top w:w="0" w:type="dxa"/>
            <w:left w:w="108" w:type="dxa"/>
            <w:bottom w:w="0" w:type="dxa"/>
            <w:right w:w="108" w:type="dxa"/>
          </w:tblCellMar>
        </w:tblPrEx>
        <w:trPr>
          <w:trHeight w:val="284" w:hRule="exact"/>
          <w:jc w:val="center"/>
        </w:trPr>
        <w:tc>
          <w:tcPr>
            <w:tcW w:w="647" w:type="pc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cs="Arial"/>
                <w:b/>
                <w:bCs/>
                <w:kern w:val="0"/>
                <w:sz w:val="15"/>
                <w:szCs w:val="15"/>
              </w:rPr>
            </w:pPr>
            <w:r>
              <w:rPr>
                <w:rFonts w:hint="eastAsia" w:ascii="宋体" w:hAnsi="宋体" w:cs="Arial"/>
                <w:b/>
                <w:bCs/>
                <w:kern w:val="0"/>
                <w:sz w:val="15"/>
                <w:szCs w:val="15"/>
              </w:rPr>
              <w:t>221</w:t>
            </w:r>
          </w:p>
        </w:tc>
        <w:tc>
          <w:tcPr>
            <w:tcW w:w="1205" w:type="pct"/>
            <w:tcBorders>
              <w:top w:val="nil"/>
              <w:left w:val="nil"/>
              <w:bottom w:val="single" w:color="auto" w:sz="4" w:space="0"/>
              <w:right w:val="single" w:color="auto" w:sz="4" w:space="0"/>
            </w:tcBorders>
            <w:shd w:val="clear" w:color="auto" w:fill="auto"/>
            <w:vAlign w:val="center"/>
          </w:tcPr>
          <w:p>
            <w:pPr>
              <w:spacing w:line="200" w:lineRule="exact"/>
              <w:rPr>
                <w:rFonts w:ascii="宋体" w:hAnsi="宋体" w:cs="Arial"/>
                <w:b/>
                <w:bCs/>
                <w:sz w:val="15"/>
                <w:szCs w:val="15"/>
              </w:rPr>
            </w:pPr>
            <w:r>
              <w:rPr>
                <w:rFonts w:hint="eastAsia" w:cs="Arial"/>
                <w:b/>
                <w:bCs/>
                <w:sz w:val="15"/>
                <w:szCs w:val="15"/>
              </w:rPr>
              <w:t>住房保障支出</w:t>
            </w:r>
          </w:p>
        </w:tc>
        <w:tc>
          <w:tcPr>
            <w:tcW w:w="1058" w:type="pct"/>
            <w:tcBorders>
              <w:top w:val="nil"/>
              <w:left w:val="nil"/>
              <w:bottom w:val="single" w:color="auto" w:sz="4" w:space="0"/>
              <w:right w:val="single" w:color="auto" w:sz="4" w:space="0"/>
            </w:tcBorders>
            <w:shd w:val="clear" w:color="auto" w:fill="auto"/>
            <w:noWrap/>
            <w:vAlign w:val="center"/>
          </w:tcPr>
          <w:p>
            <w:pPr>
              <w:spacing w:line="200" w:lineRule="exact"/>
              <w:jc w:val="right"/>
              <w:rPr>
                <w:rFonts w:ascii="宋体" w:hAnsi="宋体" w:cs="Arial"/>
                <w:b/>
                <w:bCs/>
                <w:sz w:val="15"/>
                <w:szCs w:val="15"/>
              </w:rPr>
            </w:pPr>
            <w:r>
              <w:rPr>
                <w:rFonts w:hint="eastAsia" w:cs="Arial"/>
                <w:b/>
                <w:bCs/>
                <w:sz w:val="15"/>
                <w:szCs w:val="15"/>
              </w:rPr>
              <w:t>279.98</w:t>
            </w:r>
          </w:p>
        </w:tc>
        <w:tc>
          <w:tcPr>
            <w:tcW w:w="1132" w:type="pct"/>
            <w:tcBorders>
              <w:top w:val="nil"/>
              <w:left w:val="nil"/>
              <w:bottom w:val="single" w:color="auto" w:sz="4" w:space="0"/>
              <w:right w:val="single" w:color="auto" w:sz="4" w:space="0"/>
            </w:tcBorders>
            <w:shd w:val="clear" w:color="auto" w:fill="auto"/>
            <w:noWrap/>
            <w:vAlign w:val="center"/>
          </w:tcPr>
          <w:p>
            <w:pPr>
              <w:spacing w:line="200" w:lineRule="exact"/>
              <w:jc w:val="right"/>
              <w:rPr>
                <w:rFonts w:ascii="宋体" w:hAnsi="宋体" w:cs="Arial"/>
                <w:b/>
                <w:bCs/>
                <w:sz w:val="15"/>
                <w:szCs w:val="15"/>
              </w:rPr>
            </w:pPr>
            <w:r>
              <w:rPr>
                <w:rFonts w:hint="eastAsia" w:cs="Arial"/>
                <w:b/>
                <w:bCs/>
                <w:sz w:val="15"/>
                <w:szCs w:val="15"/>
              </w:rPr>
              <w:t>279.98</w:t>
            </w:r>
          </w:p>
        </w:tc>
        <w:tc>
          <w:tcPr>
            <w:tcW w:w="958" w:type="pct"/>
            <w:tcBorders>
              <w:top w:val="nil"/>
              <w:left w:val="nil"/>
              <w:bottom w:val="single" w:color="auto" w:sz="4" w:space="0"/>
              <w:right w:val="single" w:color="auto" w:sz="4" w:space="0"/>
            </w:tcBorders>
            <w:shd w:val="clear" w:color="auto" w:fill="auto"/>
            <w:noWrap/>
            <w:vAlign w:val="center"/>
          </w:tcPr>
          <w:p>
            <w:pPr>
              <w:spacing w:line="200" w:lineRule="exact"/>
              <w:jc w:val="right"/>
              <w:rPr>
                <w:rFonts w:ascii="宋体" w:hAnsi="宋体" w:cs="Arial"/>
                <w:b/>
                <w:bCs/>
                <w:sz w:val="15"/>
                <w:szCs w:val="15"/>
              </w:rPr>
            </w:pPr>
            <w:r>
              <w:rPr>
                <w:rFonts w:hint="eastAsia" w:cs="Arial"/>
                <w:b/>
                <w:bCs/>
                <w:sz w:val="15"/>
                <w:szCs w:val="15"/>
              </w:rPr>
              <w:t>　</w:t>
            </w:r>
          </w:p>
        </w:tc>
      </w:tr>
      <w:tr>
        <w:tblPrEx>
          <w:tblCellMar>
            <w:top w:w="0" w:type="dxa"/>
            <w:left w:w="108" w:type="dxa"/>
            <w:bottom w:w="0" w:type="dxa"/>
            <w:right w:w="108" w:type="dxa"/>
          </w:tblCellMar>
        </w:tblPrEx>
        <w:trPr>
          <w:trHeight w:val="284" w:hRule="exact"/>
          <w:jc w:val="center"/>
        </w:trPr>
        <w:tc>
          <w:tcPr>
            <w:tcW w:w="647" w:type="pc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cs="Arial"/>
                <w:b/>
                <w:bCs/>
                <w:kern w:val="0"/>
                <w:sz w:val="15"/>
                <w:szCs w:val="15"/>
              </w:rPr>
            </w:pPr>
            <w:r>
              <w:rPr>
                <w:rFonts w:hint="eastAsia" w:ascii="宋体" w:hAnsi="宋体" w:cs="Arial"/>
                <w:b/>
                <w:bCs/>
                <w:kern w:val="0"/>
                <w:sz w:val="15"/>
                <w:szCs w:val="15"/>
              </w:rPr>
              <w:t>22102</w:t>
            </w:r>
          </w:p>
        </w:tc>
        <w:tc>
          <w:tcPr>
            <w:tcW w:w="1205" w:type="pct"/>
            <w:tcBorders>
              <w:top w:val="nil"/>
              <w:left w:val="nil"/>
              <w:bottom w:val="single" w:color="auto" w:sz="4" w:space="0"/>
              <w:right w:val="single" w:color="auto" w:sz="4" w:space="0"/>
            </w:tcBorders>
            <w:shd w:val="clear" w:color="auto" w:fill="auto"/>
            <w:vAlign w:val="center"/>
          </w:tcPr>
          <w:p>
            <w:pPr>
              <w:spacing w:line="200" w:lineRule="exact"/>
              <w:rPr>
                <w:rFonts w:ascii="宋体" w:hAnsi="宋体" w:cs="Arial"/>
                <w:b/>
                <w:bCs/>
                <w:sz w:val="15"/>
                <w:szCs w:val="15"/>
              </w:rPr>
            </w:pPr>
            <w:r>
              <w:rPr>
                <w:rFonts w:hint="eastAsia" w:cs="Arial"/>
                <w:b/>
                <w:bCs/>
                <w:sz w:val="15"/>
                <w:szCs w:val="15"/>
              </w:rPr>
              <w:t>住房改革支出</w:t>
            </w:r>
          </w:p>
        </w:tc>
        <w:tc>
          <w:tcPr>
            <w:tcW w:w="1058" w:type="pct"/>
            <w:tcBorders>
              <w:top w:val="nil"/>
              <w:left w:val="nil"/>
              <w:bottom w:val="single" w:color="auto" w:sz="4" w:space="0"/>
              <w:right w:val="single" w:color="auto" w:sz="4" w:space="0"/>
            </w:tcBorders>
            <w:shd w:val="clear" w:color="auto" w:fill="auto"/>
            <w:noWrap/>
            <w:vAlign w:val="center"/>
          </w:tcPr>
          <w:p>
            <w:pPr>
              <w:spacing w:line="200" w:lineRule="exact"/>
              <w:jc w:val="right"/>
              <w:rPr>
                <w:rFonts w:ascii="宋体" w:hAnsi="宋体" w:cs="Arial"/>
                <w:b/>
                <w:bCs/>
                <w:sz w:val="15"/>
                <w:szCs w:val="15"/>
              </w:rPr>
            </w:pPr>
            <w:r>
              <w:rPr>
                <w:rFonts w:hint="eastAsia" w:cs="Arial"/>
                <w:b/>
                <w:bCs/>
                <w:sz w:val="15"/>
                <w:szCs w:val="15"/>
              </w:rPr>
              <w:t>279.98</w:t>
            </w:r>
          </w:p>
        </w:tc>
        <w:tc>
          <w:tcPr>
            <w:tcW w:w="1132" w:type="pct"/>
            <w:tcBorders>
              <w:top w:val="nil"/>
              <w:left w:val="nil"/>
              <w:bottom w:val="single" w:color="auto" w:sz="4" w:space="0"/>
              <w:right w:val="single" w:color="auto" w:sz="4" w:space="0"/>
            </w:tcBorders>
            <w:shd w:val="clear" w:color="auto" w:fill="auto"/>
            <w:noWrap/>
            <w:vAlign w:val="center"/>
          </w:tcPr>
          <w:p>
            <w:pPr>
              <w:spacing w:line="200" w:lineRule="exact"/>
              <w:jc w:val="right"/>
              <w:rPr>
                <w:rFonts w:ascii="宋体" w:hAnsi="宋体" w:cs="Arial"/>
                <w:b/>
                <w:bCs/>
                <w:sz w:val="15"/>
                <w:szCs w:val="15"/>
              </w:rPr>
            </w:pPr>
            <w:r>
              <w:rPr>
                <w:rFonts w:hint="eastAsia" w:cs="Arial"/>
                <w:b/>
                <w:bCs/>
                <w:sz w:val="15"/>
                <w:szCs w:val="15"/>
              </w:rPr>
              <w:t>279.98</w:t>
            </w:r>
          </w:p>
        </w:tc>
        <w:tc>
          <w:tcPr>
            <w:tcW w:w="958" w:type="pct"/>
            <w:tcBorders>
              <w:top w:val="nil"/>
              <w:left w:val="nil"/>
              <w:bottom w:val="single" w:color="auto" w:sz="4" w:space="0"/>
              <w:right w:val="single" w:color="auto" w:sz="4" w:space="0"/>
            </w:tcBorders>
            <w:shd w:val="clear" w:color="auto" w:fill="auto"/>
            <w:noWrap/>
            <w:vAlign w:val="center"/>
          </w:tcPr>
          <w:p>
            <w:pPr>
              <w:spacing w:line="200" w:lineRule="exact"/>
              <w:jc w:val="right"/>
              <w:rPr>
                <w:rFonts w:ascii="宋体" w:hAnsi="宋体" w:cs="Arial"/>
                <w:b/>
                <w:bCs/>
                <w:sz w:val="15"/>
                <w:szCs w:val="15"/>
              </w:rPr>
            </w:pPr>
            <w:r>
              <w:rPr>
                <w:rFonts w:hint="eastAsia" w:cs="Arial"/>
                <w:b/>
                <w:bCs/>
                <w:sz w:val="15"/>
                <w:szCs w:val="15"/>
              </w:rPr>
              <w:t>　</w:t>
            </w:r>
          </w:p>
        </w:tc>
      </w:tr>
      <w:tr>
        <w:tblPrEx>
          <w:tblCellMar>
            <w:top w:w="0" w:type="dxa"/>
            <w:left w:w="108" w:type="dxa"/>
            <w:bottom w:w="0" w:type="dxa"/>
            <w:right w:w="108" w:type="dxa"/>
          </w:tblCellMar>
        </w:tblPrEx>
        <w:trPr>
          <w:trHeight w:val="284" w:hRule="exact"/>
          <w:jc w:val="center"/>
        </w:trPr>
        <w:tc>
          <w:tcPr>
            <w:tcW w:w="647" w:type="pct"/>
            <w:tcBorders>
              <w:top w:val="nil"/>
              <w:left w:val="single" w:color="auto" w:sz="4" w:space="0"/>
              <w:bottom w:val="single" w:color="auto" w:sz="4" w:space="0"/>
              <w:right w:val="single" w:color="auto" w:sz="4" w:space="0"/>
            </w:tcBorders>
            <w:shd w:val="clear" w:color="auto" w:fill="auto"/>
            <w:vAlign w:val="center"/>
          </w:tcPr>
          <w:p>
            <w:pPr>
              <w:widowControl/>
              <w:spacing w:line="200" w:lineRule="exact"/>
              <w:jc w:val="left"/>
              <w:rPr>
                <w:rFonts w:ascii="宋体" w:hAnsi="宋体" w:cs="Arial"/>
                <w:kern w:val="0"/>
                <w:sz w:val="15"/>
                <w:szCs w:val="15"/>
              </w:rPr>
            </w:pPr>
            <w:r>
              <w:rPr>
                <w:rFonts w:hint="eastAsia" w:ascii="宋体" w:hAnsi="宋体" w:cs="Arial"/>
                <w:kern w:val="0"/>
                <w:sz w:val="15"/>
                <w:szCs w:val="15"/>
              </w:rPr>
              <w:t>2210201</w:t>
            </w:r>
          </w:p>
        </w:tc>
        <w:tc>
          <w:tcPr>
            <w:tcW w:w="1205" w:type="pct"/>
            <w:tcBorders>
              <w:top w:val="nil"/>
              <w:left w:val="nil"/>
              <w:bottom w:val="single" w:color="auto" w:sz="4" w:space="0"/>
              <w:right w:val="single" w:color="auto" w:sz="4" w:space="0"/>
            </w:tcBorders>
            <w:shd w:val="clear" w:color="auto" w:fill="auto"/>
            <w:vAlign w:val="center"/>
          </w:tcPr>
          <w:p>
            <w:pPr>
              <w:spacing w:line="200" w:lineRule="exact"/>
              <w:rPr>
                <w:rFonts w:ascii="宋体" w:hAnsi="宋体" w:cs="Arial"/>
                <w:sz w:val="15"/>
                <w:szCs w:val="15"/>
              </w:rPr>
            </w:pPr>
            <w:r>
              <w:rPr>
                <w:rFonts w:hint="eastAsia" w:cs="Arial"/>
                <w:sz w:val="15"/>
                <w:szCs w:val="15"/>
              </w:rPr>
              <w:t xml:space="preserve">  住房公积金</w:t>
            </w:r>
          </w:p>
        </w:tc>
        <w:tc>
          <w:tcPr>
            <w:tcW w:w="1058" w:type="pct"/>
            <w:tcBorders>
              <w:top w:val="nil"/>
              <w:left w:val="nil"/>
              <w:bottom w:val="single" w:color="auto" w:sz="4" w:space="0"/>
              <w:right w:val="single" w:color="auto" w:sz="4" w:space="0"/>
            </w:tcBorders>
            <w:shd w:val="clear" w:color="auto" w:fill="auto"/>
            <w:noWrap/>
            <w:vAlign w:val="center"/>
          </w:tcPr>
          <w:p>
            <w:pPr>
              <w:spacing w:line="200" w:lineRule="exact"/>
              <w:jc w:val="right"/>
              <w:rPr>
                <w:rFonts w:ascii="宋体" w:hAnsi="宋体" w:cs="Arial"/>
                <w:sz w:val="15"/>
                <w:szCs w:val="15"/>
              </w:rPr>
            </w:pPr>
            <w:r>
              <w:rPr>
                <w:rFonts w:hint="eastAsia" w:cs="Arial"/>
                <w:sz w:val="15"/>
                <w:szCs w:val="15"/>
              </w:rPr>
              <w:t>279.98</w:t>
            </w:r>
          </w:p>
        </w:tc>
        <w:tc>
          <w:tcPr>
            <w:tcW w:w="1132" w:type="pct"/>
            <w:tcBorders>
              <w:top w:val="nil"/>
              <w:left w:val="nil"/>
              <w:bottom w:val="single" w:color="auto" w:sz="4" w:space="0"/>
              <w:right w:val="single" w:color="auto" w:sz="4" w:space="0"/>
            </w:tcBorders>
            <w:shd w:val="clear" w:color="auto" w:fill="auto"/>
            <w:noWrap/>
            <w:vAlign w:val="center"/>
          </w:tcPr>
          <w:p>
            <w:pPr>
              <w:spacing w:line="200" w:lineRule="exact"/>
              <w:jc w:val="right"/>
              <w:rPr>
                <w:rFonts w:ascii="宋体" w:hAnsi="宋体" w:cs="Arial"/>
                <w:sz w:val="15"/>
                <w:szCs w:val="15"/>
              </w:rPr>
            </w:pPr>
            <w:r>
              <w:rPr>
                <w:rFonts w:hint="eastAsia" w:cs="Arial"/>
                <w:sz w:val="15"/>
                <w:szCs w:val="15"/>
              </w:rPr>
              <w:t>279.98</w:t>
            </w:r>
          </w:p>
        </w:tc>
        <w:tc>
          <w:tcPr>
            <w:tcW w:w="958" w:type="pct"/>
            <w:tcBorders>
              <w:top w:val="nil"/>
              <w:left w:val="nil"/>
              <w:bottom w:val="single" w:color="auto" w:sz="4" w:space="0"/>
              <w:right w:val="single" w:color="auto" w:sz="4" w:space="0"/>
            </w:tcBorders>
            <w:shd w:val="clear" w:color="auto" w:fill="auto"/>
            <w:noWrap/>
            <w:vAlign w:val="center"/>
          </w:tcPr>
          <w:p>
            <w:pPr>
              <w:spacing w:line="200" w:lineRule="exact"/>
              <w:jc w:val="right"/>
              <w:rPr>
                <w:rFonts w:ascii="宋体" w:hAnsi="宋体" w:cs="Arial"/>
                <w:sz w:val="15"/>
                <w:szCs w:val="15"/>
              </w:rPr>
            </w:pPr>
            <w:r>
              <w:rPr>
                <w:rFonts w:hint="eastAsia" w:cs="Arial"/>
                <w:sz w:val="15"/>
                <w:szCs w:val="15"/>
              </w:rPr>
              <w:t>　</w:t>
            </w:r>
          </w:p>
        </w:tc>
      </w:tr>
    </w:tbl>
    <w:p>
      <w:pPr>
        <w:spacing w:line="400" w:lineRule="exact"/>
        <w:ind w:firstLine="108" w:firstLineChars="50"/>
        <w:jc w:val="left"/>
        <w:rPr>
          <w:rFonts w:ascii="仿宋_GB2312" w:hAnsi="宋体" w:eastAsia="仿宋_GB2312"/>
          <w:sz w:val="22"/>
          <w:szCs w:val="22"/>
        </w:rPr>
      </w:pPr>
      <w:r>
        <w:rPr>
          <w:rFonts w:hint="eastAsia" w:ascii="仿宋_GB2312" w:hAnsi="宋体" w:eastAsia="仿宋_GB2312"/>
          <w:sz w:val="22"/>
          <w:szCs w:val="22"/>
        </w:rPr>
        <w:t>注：本表反映部门本年度一般公共预算财政拨款支出情况。</w:t>
      </w:r>
    </w:p>
    <w:p>
      <w:pPr>
        <w:spacing w:line="400" w:lineRule="exact"/>
        <w:jc w:val="left"/>
        <w:rPr>
          <w:rFonts w:ascii="仿宋_GB2312" w:hAnsi="宋体" w:eastAsia="仿宋_GB2312"/>
          <w:sz w:val="22"/>
          <w:szCs w:val="22"/>
        </w:rPr>
        <w:sectPr>
          <w:pgSz w:w="16838" w:h="11906" w:orient="landscape"/>
          <w:pgMar w:top="1531" w:right="1701" w:bottom="1531" w:left="1701" w:header="0" w:footer="1418" w:gutter="0"/>
          <w:cols w:space="720" w:num="1"/>
          <w:docGrid w:type="linesAndChars" w:linePitch="610" w:charSpace="-849"/>
        </w:sectPr>
      </w:pPr>
    </w:p>
    <w:p>
      <w:pPr>
        <w:jc w:val="center"/>
        <w:rPr>
          <w:rFonts w:ascii="方正小标宋简体" w:eastAsia="方正小标宋简体"/>
          <w:sz w:val="44"/>
          <w:szCs w:val="44"/>
        </w:rPr>
      </w:pPr>
      <w:r>
        <w:rPr>
          <w:rFonts w:hint="eastAsia" w:ascii="方正小标宋简体" w:eastAsia="方正小标宋简体"/>
          <w:sz w:val="44"/>
          <w:szCs w:val="44"/>
        </w:rPr>
        <w:t>一般公共预算财政拨款基本支出决算表</w:t>
      </w:r>
    </w:p>
    <w:p>
      <w:pPr>
        <w:spacing w:line="400" w:lineRule="exact"/>
        <w:jc w:val="right"/>
        <w:rPr>
          <w:rFonts w:ascii="楷体_GB2312" w:eastAsia="楷体_GB2312"/>
          <w:sz w:val="28"/>
          <w:szCs w:val="28"/>
        </w:rPr>
      </w:pPr>
      <w:r>
        <w:rPr>
          <w:rFonts w:hint="eastAsia" w:ascii="楷体_GB2312" w:eastAsia="楷体_GB2312"/>
          <w:sz w:val="28"/>
          <w:szCs w:val="28"/>
        </w:rPr>
        <w:t>公开06表</w:t>
      </w:r>
    </w:p>
    <w:p>
      <w:pPr>
        <w:spacing w:line="400" w:lineRule="exact"/>
        <w:ind w:firstLine="138" w:firstLineChars="50"/>
        <w:jc w:val="right"/>
        <w:rPr>
          <w:rFonts w:ascii="楷体_GB2312" w:eastAsia="楷体_GB2312"/>
          <w:sz w:val="28"/>
          <w:szCs w:val="28"/>
        </w:rPr>
      </w:pPr>
      <w:r>
        <w:rPr>
          <w:rFonts w:hint="eastAsia" w:ascii="楷体_GB2312" w:eastAsia="楷体_GB2312"/>
          <w:sz w:val="28"/>
          <w:szCs w:val="28"/>
        </w:rPr>
        <w:t xml:space="preserve">部门：中共青岛市委党校                                        </w:t>
      </w:r>
      <w:r>
        <w:rPr>
          <w:rFonts w:ascii="楷体_GB2312" w:eastAsia="楷体_GB2312"/>
          <w:sz w:val="28"/>
          <w:szCs w:val="28"/>
        </w:rPr>
        <w:t xml:space="preserve"> </w:t>
      </w:r>
      <w:r>
        <w:rPr>
          <w:rFonts w:hint="eastAsia" w:ascii="楷体_GB2312" w:eastAsia="楷体_GB2312"/>
          <w:sz w:val="28"/>
          <w:szCs w:val="28"/>
        </w:rPr>
        <w:t xml:space="preserve">                        单位：万元</w:t>
      </w:r>
    </w:p>
    <w:tbl>
      <w:tblPr>
        <w:tblStyle w:val="5"/>
        <w:tblW w:w="13395" w:type="dxa"/>
        <w:jc w:val="center"/>
        <w:tblLayout w:type="autofit"/>
        <w:tblCellMar>
          <w:top w:w="0" w:type="dxa"/>
          <w:left w:w="108" w:type="dxa"/>
          <w:bottom w:w="0" w:type="dxa"/>
          <w:right w:w="108" w:type="dxa"/>
        </w:tblCellMar>
      </w:tblPr>
      <w:tblGrid>
        <w:gridCol w:w="1008"/>
        <w:gridCol w:w="3023"/>
        <w:gridCol w:w="900"/>
        <w:gridCol w:w="1138"/>
        <w:gridCol w:w="1984"/>
        <w:gridCol w:w="900"/>
        <w:gridCol w:w="1010"/>
        <w:gridCol w:w="2551"/>
        <w:gridCol w:w="900"/>
      </w:tblGrid>
      <w:tr>
        <w:tblPrEx>
          <w:tblCellMar>
            <w:top w:w="0" w:type="dxa"/>
            <w:left w:w="108" w:type="dxa"/>
            <w:bottom w:w="0" w:type="dxa"/>
            <w:right w:w="108" w:type="dxa"/>
          </w:tblCellMar>
        </w:tblPrEx>
        <w:trPr>
          <w:trHeight w:val="369" w:hRule="atLeast"/>
          <w:tblHeader/>
          <w:jc w:val="center"/>
        </w:trPr>
        <w:tc>
          <w:tcPr>
            <w:tcW w:w="4931" w:type="dxa"/>
            <w:gridSpan w:val="3"/>
            <w:tcBorders>
              <w:top w:val="single" w:color="auto" w:sz="8" w:space="0"/>
              <w:left w:val="single" w:color="auto" w:sz="8"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人员经费</w:t>
            </w:r>
          </w:p>
        </w:tc>
        <w:tc>
          <w:tcPr>
            <w:tcW w:w="8464" w:type="dxa"/>
            <w:gridSpan w:val="6"/>
            <w:tcBorders>
              <w:top w:val="single" w:color="auto" w:sz="8" w:space="0"/>
              <w:left w:val="nil"/>
              <w:bottom w:val="single" w:color="auto" w:sz="4" w:space="0"/>
              <w:right w:val="single" w:color="000000" w:sz="8" w:space="0"/>
            </w:tcBorders>
            <w:shd w:val="clear" w:color="auto" w:fill="auto"/>
            <w:noWrap/>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公用经费</w:t>
            </w:r>
          </w:p>
        </w:tc>
      </w:tr>
      <w:tr>
        <w:tblPrEx>
          <w:tblCellMar>
            <w:top w:w="0" w:type="dxa"/>
            <w:left w:w="108" w:type="dxa"/>
            <w:bottom w:w="0" w:type="dxa"/>
            <w:right w:w="108" w:type="dxa"/>
          </w:tblCellMar>
        </w:tblPrEx>
        <w:trPr>
          <w:trHeight w:val="300" w:hRule="atLeast"/>
          <w:tblHeader/>
          <w:jc w:val="center"/>
        </w:trPr>
        <w:tc>
          <w:tcPr>
            <w:tcW w:w="1008" w:type="dxa"/>
            <w:vMerge w:val="restart"/>
            <w:tcBorders>
              <w:top w:val="nil"/>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经济分类 科目编码</w:t>
            </w:r>
          </w:p>
        </w:tc>
        <w:tc>
          <w:tcPr>
            <w:tcW w:w="302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科目名称</w:t>
            </w:r>
          </w:p>
        </w:tc>
        <w:tc>
          <w:tcPr>
            <w:tcW w:w="9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决算数</w:t>
            </w:r>
          </w:p>
        </w:tc>
        <w:tc>
          <w:tcPr>
            <w:tcW w:w="1138"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经济分类科目编码</w:t>
            </w:r>
          </w:p>
        </w:tc>
        <w:tc>
          <w:tcPr>
            <w:tcW w:w="198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科目名称</w:t>
            </w:r>
          </w:p>
        </w:tc>
        <w:tc>
          <w:tcPr>
            <w:tcW w:w="90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决算数</w:t>
            </w:r>
          </w:p>
        </w:tc>
        <w:tc>
          <w:tcPr>
            <w:tcW w:w="101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经济分类科目编码</w:t>
            </w:r>
          </w:p>
        </w:tc>
        <w:tc>
          <w:tcPr>
            <w:tcW w:w="255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科目名称</w:t>
            </w:r>
          </w:p>
        </w:tc>
        <w:tc>
          <w:tcPr>
            <w:tcW w:w="881" w:type="dxa"/>
            <w:vMerge w:val="restart"/>
            <w:tcBorders>
              <w:top w:val="nil"/>
              <w:left w:val="single" w:color="auto" w:sz="4" w:space="0"/>
              <w:bottom w:val="single" w:color="auto" w:sz="4" w:space="0"/>
              <w:right w:val="single" w:color="auto" w:sz="8" w:space="0"/>
            </w:tcBorders>
            <w:shd w:val="clear" w:color="auto" w:fill="auto"/>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决算数</w:t>
            </w:r>
          </w:p>
        </w:tc>
      </w:tr>
      <w:tr>
        <w:tblPrEx>
          <w:tblCellMar>
            <w:top w:w="0" w:type="dxa"/>
            <w:left w:w="108" w:type="dxa"/>
            <w:bottom w:w="0" w:type="dxa"/>
            <w:right w:w="108" w:type="dxa"/>
          </w:tblCellMar>
        </w:tblPrEx>
        <w:trPr>
          <w:trHeight w:val="300" w:hRule="atLeast"/>
          <w:tblHeader/>
          <w:jc w:val="center"/>
        </w:trPr>
        <w:tc>
          <w:tcPr>
            <w:tcW w:w="1008" w:type="dxa"/>
            <w:vMerge w:val="continue"/>
            <w:tcBorders>
              <w:top w:val="nil"/>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color w:val="000000"/>
                <w:kern w:val="0"/>
                <w:sz w:val="22"/>
                <w:szCs w:val="22"/>
              </w:rPr>
            </w:pPr>
          </w:p>
        </w:tc>
        <w:tc>
          <w:tcPr>
            <w:tcW w:w="302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color w:val="000000"/>
                <w:kern w:val="0"/>
                <w:sz w:val="22"/>
                <w:szCs w:val="22"/>
              </w:rPr>
            </w:pPr>
          </w:p>
        </w:tc>
        <w:tc>
          <w:tcPr>
            <w:tcW w:w="90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color w:val="000000"/>
                <w:kern w:val="0"/>
                <w:sz w:val="22"/>
                <w:szCs w:val="22"/>
              </w:rPr>
            </w:pPr>
          </w:p>
        </w:tc>
        <w:tc>
          <w:tcPr>
            <w:tcW w:w="1138"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color w:val="000000"/>
                <w:kern w:val="0"/>
                <w:sz w:val="22"/>
                <w:szCs w:val="22"/>
              </w:rPr>
            </w:pPr>
          </w:p>
        </w:tc>
        <w:tc>
          <w:tcPr>
            <w:tcW w:w="1984"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color w:val="000000"/>
                <w:kern w:val="0"/>
                <w:sz w:val="22"/>
                <w:szCs w:val="22"/>
              </w:rPr>
            </w:pPr>
          </w:p>
        </w:tc>
        <w:tc>
          <w:tcPr>
            <w:tcW w:w="90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color w:val="000000"/>
                <w:kern w:val="0"/>
                <w:sz w:val="22"/>
                <w:szCs w:val="22"/>
              </w:rPr>
            </w:pPr>
          </w:p>
        </w:tc>
        <w:tc>
          <w:tcPr>
            <w:tcW w:w="101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color w:val="000000"/>
                <w:kern w:val="0"/>
                <w:sz w:val="22"/>
                <w:szCs w:val="22"/>
              </w:rPr>
            </w:pPr>
          </w:p>
        </w:tc>
        <w:tc>
          <w:tcPr>
            <w:tcW w:w="255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color w:val="000000"/>
                <w:kern w:val="0"/>
                <w:sz w:val="22"/>
                <w:szCs w:val="22"/>
              </w:rPr>
            </w:pPr>
          </w:p>
        </w:tc>
        <w:tc>
          <w:tcPr>
            <w:tcW w:w="881" w:type="dxa"/>
            <w:vMerge w:val="continue"/>
            <w:tcBorders>
              <w:top w:val="nil"/>
              <w:left w:val="single" w:color="auto" w:sz="4" w:space="0"/>
              <w:bottom w:val="single" w:color="auto" w:sz="4" w:space="0"/>
              <w:right w:val="single" w:color="auto" w:sz="8" w:space="0"/>
            </w:tcBorders>
            <w:shd w:val="clear" w:color="auto" w:fill="auto"/>
            <w:vAlign w:val="center"/>
          </w:tcPr>
          <w:p>
            <w:pPr>
              <w:widowControl/>
              <w:spacing w:line="300" w:lineRule="exact"/>
              <w:jc w:val="left"/>
              <w:rPr>
                <w:rFonts w:ascii="仿宋_GB2312" w:hAnsi="宋体" w:eastAsia="仿宋_GB2312" w:cs="宋体"/>
                <w:color w:val="000000"/>
                <w:kern w:val="0"/>
                <w:sz w:val="22"/>
                <w:szCs w:val="22"/>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301</w:t>
            </w:r>
          </w:p>
        </w:tc>
        <w:tc>
          <w:tcPr>
            <w:tcW w:w="3023"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工资福利支出</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3,278.67</w:t>
            </w:r>
          </w:p>
        </w:tc>
        <w:tc>
          <w:tcPr>
            <w:tcW w:w="1138"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302</w:t>
            </w:r>
          </w:p>
        </w:tc>
        <w:tc>
          <w:tcPr>
            <w:tcW w:w="1984"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商品和服务支出</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2,108.69</w:t>
            </w:r>
          </w:p>
        </w:tc>
        <w:tc>
          <w:tcPr>
            <w:tcW w:w="1010"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307</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债务利息及费用支出</w:t>
            </w:r>
          </w:p>
        </w:tc>
        <w:tc>
          <w:tcPr>
            <w:tcW w:w="881" w:type="dxa"/>
            <w:tcBorders>
              <w:top w:val="nil"/>
              <w:left w:val="nil"/>
              <w:bottom w:val="single" w:color="auto" w:sz="4" w:space="0"/>
              <w:right w:val="single" w:color="auto" w:sz="8" w:space="0"/>
            </w:tcBorders>
            <w:shd w:val="clear" w:color="auto" w:fill="auto"/>
            <w:noWrap/>
            <w:vAlign w:val="center"/>
          </w:tcPr>
          <w:p>
            <w:pPr>
              <w:widowControl/>
              <w:spacing w:line="320" w:lineRule="exact"/>
              <w:jc w:val="center"/>
              <w:rPr>
                <w:rFonts w:ascii="仿宋_GB2312" w:hAnsi="宋体" w:eastAsia="仿宋_GB2312" w:cs="宋体"/>
                <w:color w:val="000000"/>
                <w:kern w:val="0"/>
                <w:sz w:val="15"/>
                <w:szCs w:val="15"/>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30101</w:t>
            </w:r>
          </w:p>
        </w:tc>
        <w:tc>
          <w:tcPr>
            <w:tcW w:w="3023"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基本工资</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890.88</w:t>
            </w:r>
          </w:p>
        </w:tc>
        <w:tc>
          <w:tcPr>
            <w:tcW w:w="1138"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30201</w:t>
            </w:r>
          </w:p>
        </w:tc>
        <w:tc>
          <w:tcPr>
            <w:tcW w:w="1984"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办公费</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19.27</w:t>
            </w:r>
          </w:p>
        </w:tc>
        <w:tc>
          <w:tcPr>
            <w:tcW w:w="1010"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30701</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国内债务付息</w:t>
            </w:r>
          </w:p>
        </w:tc>
        <w:tc>
          <w:tcPr>
            <w:tcW w:w="881" w:type="dxa"/>
            <w:tcBorders>
              <w:top w:val="nil"/>
              <w:left w:val="nil"/>
              <w:bottom w:val="single" w:color="auto" w:sz="4" w:space="0"/>
              <w:right w:val="single" w:color="auto" w:sz="8" w:space="0"/>
            </w:tcBorders>
            <w:shd w:val="clear" w:color="auto" w:fill="auto"/>
            <w:noWrap/>
            <w:vAlign w:val="center"/>
          </w:tcPr>
          <w:p>
            <w:pPr>
              <w:widowControl/>
              <w:spacing w:line="320" w:lineRule="exact"/>
              <w:jc w:val="center"/>
              <w:rPr>
                <w:rFonts w:ascii="仿宋_GB2312" w:hAnsi="宋体" w:eastAsia="仿宋_GB2312" w:cs="宋体"/>
                <w:color w:val="000000"/>
                <w:kern w:val="0"/>
                <w:sz w:val="15"/>
                <w:szCs w:val="15"/>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30102</w:t>
            </w:r>
          </w:p>
        </w:tc>
        <w:tc>
          <w:tcPr>
            <w:tcW w:w="3023"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津贴补贴</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832.46</w:t>
            </w:r>
          </w:p>
        </w:tc>
        <w:tc>
          <w:tcPr>
            <w:tcW w:w="1138"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30202</w:t>
            </w:r>
          </w:p>
        </w:tc>
        <w:tc>
          <w:tcPr>
            <w:tcW w:w="1984"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印刷费</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13.44</w:t>
            </w:r>
          </w:p>
        </w:tc>
        <w:tc>
          <w:tcPr>
            <w:tcW w:w="1010"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30702</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国外债务付息</w:t>
            </w:r>
          </w:p>
        </w:tc>
        <w:tc>
          <w:tcPr>
            <w:tcW w:w="881" w:type="dxa"/>
            <w:tcBorders>
              <w:top w:val="nil"/>
              <w:left w:val="nil"/>
              <w:bottom w:val="single" w:color="auto" w:sz="4" w:space="0"/>
              <w:right w:val="single" w:color="auto" w:sz="8" w:space="0"/>
            </w:tcBorders>
            <w:shd w:val="clear" w:color="auto" w:fill="auto"/>
            <w:noWrap/>
            <w:vAlign w:val="center"/>
          </w:tcPr>
          <w:p>
            <w:pPr>
              <w:widowControl/>
              <w:spacing w:line="320" w:lineRule="exact"/>
              <w:jc w:val="center"/>
              <w:rPr>
                <w:rFonts w:ascii="仿宋_GB2312" w:hAnsi="宋体" w:eastAsia="仿宋_GB2312" w:cs="宋体"/>
                <w:color w:val="000000"/>
                <w:kern w:val="0"/>
                <w:sz w:val="15"/>
                <w:szCs w:val="15"/>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30103</w:t>
            </w:r>
          </w:p>
        </w:tc>
        <w:tc>
          <w:tcPr>
            <w:tcW w:w="3023"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奖金</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95.15</w:t>
            </w:r>
          </w:p>
        </w:tc>
        <w:tc>
          <w:tcPr>
            <w:tcW w:w="1138"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30203</w:t>
            </w:r>
          </w:p>
        </w:tc>
        <w:tc>
          <w:tcPr>
            <w:tcW w:w="1984"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咨询费</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　</w:t>
            </w:r>
          </w:p>
        </w:tc>
        <w:tc>
          <w:tcPr>
            <w:tcW w:w="1010"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30703</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国内债务发行费用</w:t>
            </w:r>
          </w:p>
        </w:tc>
        <w:tc>
          <w:tcPr>
            <w:tcW w:w="881" w:type="dxa"/>
            <w:tcBorders>
              <w:top w:val="nil"/>
              <w:left w:val="nil"/>
              <w:bottom w:val="single" w:color="auto" w:sz="4" w:space="0"/>
              <w:right w:val="single" w:color="auto" w:sz="8" w:space="0"/>
            </w:tcBorders>
            <w:shd w:val="clear" w:color="auto" w:fill="auto"/>
            <w:noWrap/>
            <w:vAlign w:val="center"/>
          </w:tcPr>
          <w:p>
            <w:pPr>
              <w:widowControl/>
              <w:spacing w:line="320" w:lineRule="exact"/>
              <w:jc w:val="center"/>
              <w:rPr>
                <w:rFonts w:ascii="仿宋_GB2312" w:hAnsi="宋体" w:eastAsia="仿宋_GB2312" w:cs="宋体"/>
                <w:color w:val="000000"/>
                <w:kern w:val="0"/>
                <w:sz w:val="15"/>
                <w:szCs w:val="15"/>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30106</w:t>
            </w:r>
          </w:p>
        </w:tc>
        <w:tc>
          <w:tcPr>
            <w:tcW w:w="3023"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伙食补助费</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　</w:t>
            </w:r>
          </w:p>
        </w:tc>
        <w:tc>
          <w:tcPr>
            <w:tcW w:w="1138"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30204</w:t>
            </w:r>
          </w:p>
        </w:tc>
        <w:tc>
          <w:tcPr>
            <w:tcW w:w="1984"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手续费</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0.55</w:t>
            </w:r>
          </w:p>
        </w:tc>
        <w:tc>
          <w:tcPr>
            <w:tcW w:w="1010"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30704</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国外债务发行费用</w:t>
            </w:r>
          </w:p>
        </w:tc>
        <w:tc>
          <w:tcPr>
            <w:tcW w:w="881" w:type="dxa"/>
            <w:tcBorders>
              <w:top w:val="nil"/>
              <w:left w:val="nil"/>
              <w:bottom w:val="single" w:color="auto" w:sz="4" w:space="0"/>
              <w:right w:val="single" w:color="auto" w:sz="8" w:space="0"/>
            </w:tcBorders>
            <w:shd w:val="clear" w:color="auto" w:fill="auto"/>
            <w:noWrap/>
            <w:vAlign w:val="center"/>
          </w:tcPr>
          <w:p>
            <w:pPr>
              <w:widowControl/>
              <w:spacing w:line="320" w:lineRule="exact"/>
              <w:jc w:val="center"/>
              <w:rPr>
                <w:rFonts w:ascii="仿宋_GB2312" w:hAnsi="宋体" w:eastAsia="仿宋_GB2312" w:cs="宋体"/>
                <w:color w:val="000000"/>
                <w:kern w:val="0"/>
                <w:sz w:val="15"/>
                <w:szCs w:val="15"/>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30107</w:t>
            </w:r>
          </w:p>
        </w:tc>
        <w:tc>
          <w:tcPr>
            <w:tcW w:w="3023"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绩效工资</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528.72</w:t>
            </w:r>
          </w:p>
        </w:tc>
        <w:tc>
          <w:tcPr>
            <w:tcW w:w="1138"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30205</w:t>
            </w:r>
          </w:p>
        </w:tc>
        <w:tc>
          <w:tcPr>
            <w:tcW w:w="1984"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水费</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7.62</w:t>
            </w:r>
          </w:p>
        </w:tc>
        <w:tc>
          <w:tcPr>
            <w:tcW w:w="1010"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310</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资本性支出</w:t>
            </w:r>
          </w:p>
        </w:tc>
        <w:tc>
          <w:tcPr>
            <w:tcW w:w="881" w:type="dxa"/>
            <w:tcBorders>
              <w:top w:val="nil"/>
              <w:left w:val="nil"/>
              <w:bottom w:val="single" w:color="auto" w:sz="4" w:space="0"/>
              <w:right w:val="single" w:color="auto" w:sz="8"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25.28</w:t>
            </w: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30108</w:t>
            </w:r>
          </w:p>
        </w:tc>
        <w:tc>
          <w:tcPr>
            <w:tcW w:w="3023"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机关事业单位基本养老保险缴费</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324.37</w:t>
            </w:r>
          </w:p>
        </w:tc>
        <w:tc>
          <w:tcPr>
            <w:tcW w:w="1138"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30206</w:t>
            </w:r>
          </w:p>
        </w:tc>
        <w:tc>
          <w:tcPr>
            <w:tcW w:w="1984"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电费</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72.92</w:t>
            </w:r>
          </w:p>
        </w:tc>
        <w:tc>
          <w:tcPr>
            <w:tcW w:w="1010"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31001</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房屋建筑物购建</w:t>
            </w:r>
          </w:p>
        </w:tc>
        <w:tc>
          <w:tcPr>
            <w:tcW w:w="881" w:type="dxa"/>
            <w:tcBorders>
              <w:top w:val="nil"/>
              <w:left w:val="nil"/>
              <w:bottom w:val="single" w:color="auto" w:sz="4" w:space="0"/>
              <w:right w:val="single" w:color="auto" w:sz="8"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　</w:t>
            </w: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30109</w:t>
            </w:r>
          </w:p>
        </w:tc>
        <w:tc>
          <w:tcPr>
            <w:tcW w:w="3023"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职业年金缴费</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　</w:t>
            </w:r>
          </w:p>
        </w:tc>
        <w:tc>
          <w:tcPr>
            <w:tcW w:w="1138"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30207</w:t>
            </w:r>
          </w:p>
        </w:tc>
        <w:tc>
          <w:tcPr>
            <w:tcW w:w="1984"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邮电费</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25.06</w:t>
            </w:r>
          </w:p>
        </w:tc>
        <w:tc>
          <w:tcPr>
            <w:tcW w:w="1010"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31002</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办公设备购置</w:t>
            </w:r>
          </w:p>
        </w:tc>
        <w:tc>
          <w:tcPr>
            <w:tcW w:w="881" w:type="dxa"/>
            <w:tcBorders>
              <w:top w:val="nil"/>
              <w:left w:val="nil"/>
              <w:bottom w:val="single" w:color="auto" w:sz="4" w:space="0"/>
              <w:right w:val="single" w:color="auto" w:sz="8"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9.25</w:t>
            </w: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30110</w:t>
            </w:r>
          </w:p>
        </w:tc>
        <w:tc>
          <w:tcPr>
            <w:tcW w:w="3023"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职工基本医疗保险缴费</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244.95</w:t>
            </w:r>
          </w:p>
        </w:tc>
        <w:tc>
          <w:tcPr>
            <w:tcW w:w="1138"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30208</w:t>
            </w:r>
          </w:p>
        </w:tc>
        <w:tc>
          <w:tcPr>
            <w:tcW w:w="1984"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取暖费</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40.56</w:t>
            </w:r>
          </w:p>
        </w:tc>
        <w:tc>
          <w:tcPr>
            <w:tcW w:w="1010"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31003</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专用设备购置</w:t>
            </w:r>
          </w:p>
        </w:tc>
        <w:tc>
          <w:tcPr>
            <w:tcW w:w="881" w:type="dxa"/>
            <w:tcBorders>
              <w:top w:val="nil"/>
              <w:left w:val="nil"/>
              <w:bottom w:val="single" w:color="auto" w:sz="4" w:space="0"/>
              <w:right w:val="single" w:color="auto" w:sz="8"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16.04</w:t>
            </w: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30111</w:t>
            </w:r>
          </w:p>
        </w:tc>
        <w:tc>
          <w:tcPr>
            <w:tcW w:w="3023"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公务员医疗补助缴费</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　</w:t>
            </w:r>
          </w:p>
        </w:tc>
        <w:tc>
          <w:tcPr>
            <w:tcW w:w="1138"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30209</w:t>
            </w:r>
          </w:p>
        </w:tc>
        <w:tc>
          <w:tcPr>
            <w:tcW w:w="1984"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物业管理费</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133.42</w:t>
            </w:r>
          </w:p>
        </w:tc>
        <w:tc>
          <w:tcPr>
            <w:tcW w:w="1010"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31005</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基础设施建设</w:t>
            </w:r>
          </w:p>
        </w:tc>
        <w:tc>
          <w:tcPr>
            <w:tcW w:w="881" w:type="dxa"/>
            <w:tcBorders>
              <w:top w:val="nil"/>
              <w:left w:val="nil"/>
              <w:bottom w:val="single" w:color="auto" w:sz="4" w:space="0"/>
              <w:right w:val="single" w:color="auto" w:sz="8" w:space="0"/>
            </w:tcBorders>
            <w:shd w:val="clear" w:color="auto" w:fill="auto"/>
            <w:noWrap/>
            <w:vAlign w:val="center"/>
          </w:tcPr>
          <w:p>
            <w:pPr>
              <w:widowControl/>
              <w:spacing w:line="320" w:lineRule="exact"/>
              <w:jc w:val="center"/>
              <w:rPr>
                <w:rFonts w:ascii="仿宋_GB2312" w:hAnsi="宋体" w:eastAsia="仿宋_GB2312" w:cs="宋体"/>
                <w:color w:val="000000"/>
                <w:kern w:val="0"/>
                <w:sz w:val="15"/>
                <w:szCs w:val="15"/>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30112</w:t>
            </w:r>
          </w:p>
        </w:tc>
        <w:tc>
          <w:tcPr>
            <w:tcW w:w="3023"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其他社会保障缴费</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36.89</w:t>
            </w:r>
          </w:p>
        </w:tc>
        <w:tc>
          <w:tcPr>
            <w:tcW w:w="1138"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30211</w:t>
            </w:r>
          </w:p>
        </w:tc>
        <w:tc>
          <w:tcPr>
            <w:tcW w:w="1984"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差旅费</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9.88</w:t>
            </w:r>
          </w:p>
        </w:tc>
        <w:tc>
          <w:tcPr>
            <w:tcW w:w="1010"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31006</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大型修缮</w:t>
            </w:r>
          </w:p>
        </w:tc>
        <w:tc>
          <w:tcPr>
            <w:tcW w:w="881" w:type="dxa"/>
            <w:tcBorders>
              <w:top w:val="nil"/>
              <w:left w:val="nil"/>
              <w:bottom w:val="single" w:color="auto" w:sz="4" w:space="0"/>
              <w:right w:val="single" w:color="auto" w:sz="8" w:space="0"/>
            </w:tcBorders>
            <w:shd w:val="clear" w:color="auto" w:fill="auto"/>
            <w:noWrap/>
            <w:vAlign w:val="center"/>
          </w:tcPr>
          <w:p>
            <w:pPr>
              <w:widowControl/>
              <w:spacing w:line="320" w:lineRule="exact"/>
              <w:jc w:val="center"/>
              <w:rPr>
                <w:rFonts w:ascii="仿宋_GB2312" w:hAnsi="宋体" w:eastAsia="仿宋_GB2312" w:cs="宋体"/>
                <w:color w:val="000000"/>
                <w:kern w:val="0"/>
                <w:sz w:val="15"/>
                <w:szCs w:val="15"/>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30113</w:t>
            </w:r>
          </w:p>
        </w:tc>
        <w:tc>
          <w:tcPr>
            <w:tcW w:w="3023"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住房公积金</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279.98</w:t>
            </w:r>
          </w:p>
        </w:tc>
        <w:tc>
          <w:tcPr>
            <w:tcW w:w="1138"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30212</w:t>
            </w:r>
          </w:p>
        </w:tc>
        <w:tc>
          <w:tcPr>
            <w:tcW w:w="1984"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因公出国（境）费用</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9.01</w:t>
            </w:r>
          </w:p>
        </w:tc>
        <w:tc>
          <w:tcPr>
            <w:tcW w:w="1010"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31007</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信息网络及软件购置更新</w:t>
            </w:r>
          </w:p>
        </w:tc>
        <w:tc>
          <w:tcPr>
            <w:tcW w:w="881" w:type="dxa"/>
            <w:tcBorders>
              <w:top w:val="nil"/>
              <w:left w:val="nil"/>
              <w:bottom w:val="single" w:color="auto" w:sz="4" w:space="0"/>
              <w:right w:val="single" w:color="auto" w:sz="8" w:space="0"/>
            </w:tcBorders>
            <w:shd w:val="clear" w:color="auto" w:fill="auto"/>
            <w:noWrap/>
            <w:vAlign w:val="center"/>
          </w:tcPr>
          <w:p>
            <w:pPr>
              <w:widowControl/>
              <w:spacing w:line="320" w:lineRule="exact"/>
              <w:jc w:val="center"/>
              <w:rPr>
                <w:rFonts w:ascii="仿宋_GB2312" w:hAnsi="宋体" w:eastAsia="仿宋_GB2312" w:cs="宋体"/>
                <w:color w:val="000000"/>
                <w:kern w:val="0"/>
                <w:sz w:val="15"/>
                <w:szCs w:val="15"/>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30114</w:t>
            </w:r>
          </w:p>
        </w:tc>
        <w:tc>
          <w:tcPr>
            <w:tcW w:w="3023"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医疗费</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　</w:t>
            </w:r>
          </w:p>
        </w:tc>
        <w:tc>
          <w:tcPr>
            <w:tcW w:w="1138"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30213</w:t>
            </w:r>
          </w:p>
        </w:tc>
        <w:tc>
          <w:tcPr>
            <w:tcW w:w="1984"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维修(护)费</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161.63</w:t>
            </w:r>
          </w:p>
        </w:tc>
        <w:tc>
          <w:tcPr>
            <w:tcW w:w="1010"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31008</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物资储备</w:t>
            </w:r>
          </w:p>
        </w:tc>
        <w:tc>
          <w:tcPr>
            <w:tcW w:w="881" w:type="dxa"/>
            <w:tcBorders>
              <w:top w:val="nil"/>
              <w:left w:val="nil"/>
              <w:bottom w:val="single" w:color="auto" w:sz="4" w:space="0"/>
              <w:right w:val="single" w:color="auto" w:sz="8" w:space="0"/>
            </w:tcBorders>
            <w:shd w:val="clear" w:color="auto" w:fill="auto"/>
            <w:noWrap/>
            <w:vAlign w:val="center"/>
          </w:tcPr>
          <w:p>
            <w:pPr>
              <w:widowControl/>
              <w:spacing w:line="320" w:lineRule="exact"/>
              <w:jc w:val="center"/>
              <w:rPr>
                <w:rFonts w:ascii="仿宋_GB2312" w:hAnsi="宋体" w:eastAsia="仿宋_GB2312" w:cs="宋体"/>
                <w:color w:val="000000"/>
                <w:kern w:val="0"/>
                <w:sz w:val="15"/>
                <w:szCs w:val="15"/>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30199</w:t>
            </w:r>
          </w:p>
        </w:tc>
        <w:tc>
          <w:tcPr>
            <w:tcW w:w="3023"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其他工资福利支出</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45.28</w:t>
            </w:r>
          </w:p>
        </w:tc>
        <w:tc>
          <w:tcPr>
            <w:tcW w:w="1138"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30214</w:t>
            </w:r>
          </w:p>
        </w:tc>
        <w:tc>
          <w:tcPr>
            <w:tcW w:w="1984"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租赁费</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　</w:t>
            </w:r>
          </w:p>
        </w:tc>
        <w:tc>
          <w:tcPr>
            <w:tcW w:w="1010"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31009</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土地补偿</w:t>
            </w:r>
          </w:p>
        </w:tc>
        <w:tc>
          <w:tcPr>
            <w:tcW w:w="881" w:type="dxa"/>
            <w:tcBorders>
              <w:top w:val="nil"/>
              <w:left w:val="nil"/>
              <w:bottom w:val="single" w:color="auto" w:sz="4" w:space="0"/>
              <w:right w:val="single" w:color="auto" w:sz="8" w:space="0"/>
            </w:tcBorders>
            <w:shd w:val="clear" w:color="auto" w:fill="auto"/>
            <w:noWrap/>
            <w:vAlign w:val="center"/>
          </w:tcPr>
          <w:p>
            <w:pPr>
              <w:widowControl/>
              <w:spacing w:line="320" w:lineRule="exact"/>
              <w:jc w:val="center"/>
              <w:rPr>
                <w:rFonts w:ascii="仿宋_GB2312" w:hAnsi="宋体" w:eastAsia="仿宋_GB2312" w:cs="宋体"/>
                <w:color w:val="000000"/>
                <w:kern w:val="0"/>
                <w:sz w:val="15"/>
                <w:szCs w:val="15"/>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303</w:t>
            </w:r>
          </w:p>
        </w:tc>
        <w:tc>
          <w:tcPr>
            <w:tcW w:w="3023"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对个人和家庭的补助</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486.45</w:t>
            </w:r>
          </w:p>
        </w:tc>
        <w:tc>
          <w:tcPr>
            <w:tcW w:w="1138"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30215</w:t>
            </w:r>
          </w:p>
        </w:tc>
        <w:tc>
          <w:tcPr>
            <w:tcW w:w="1984"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会议费</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　</w:t>
            </w:r>
          </w:p>
        </w:tc>
        <w:tc>
          <w:tcPr>
            <w:tcW w:w="1010"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31010</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安置补助</w:t>
            </w:r>
          </w:p>
        </w:tc>
        <w:tc>
          <w:tcPr>
            <w:tcW w:w="881" w:type="dxa"/>
            <w:tcBorders>
              <w:top w:val="nil"/>
              <w:left w:val="nil"/>
              <w:bottom w:val="single" w:color="auto" w:sz="4" w:space="0"/>
              <w:right w:val="single" w:color="auto" w:sz="8" w:space="0"/>
            </w:tcBorders>
            <w:shd w:val="clear" w:color="auto" w:fill="auto"/>
            <w:noWrap/>
            <w:vAlign w:val="center"/>
          </w:tcPr>
          <w:p>
            <w:pPr>
              <w:widowControl/>
              <w:spacing w:line="320" w:lineRule="exact"/>
              <w:jc w:val="center"/>
              <w:rPr>
                <w:rFonts w:ascii="仿宋_GB2312" w:hAnsi="宋体" w:eastAsia="仿宋_GB2312" w:cs="宋体"/>
                <w:color w:val="000000"/>
                <w:kern w:val="0"/>
                <w:sz w:val="15"/>
                <w:szCs w:val="15"/>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30301</w:t>
            </w:r>
          </w:p>
        </w:tc>
        <w:tc>
          <w:tcPr>
            <w:tcW w:w="3023"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离休费</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75.90</w:t>
            </w:r>
          </w:p>
        </w:tc>
        <w:tc>
          <w:tcPr>
            <w:tcW w:w="1138"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30216</w:t>
            </w:r>
          </w:p>
        </w:tc>
        <w:tc>
          <w:tcPr>
            <w:tcW w:w="1984"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培训费</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0.96</w:t>
            </w:r>
          </w:p>
        </w:tc>
        <w:tc>
          <w:tcPr>
            <w:tcW w:w="1010"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31011</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地上附着物和青苗补偿</w:t>
            </w:r>
          </w:p>
        </w:tc>
        <w:tc>
          <w:tcPr>
            <w:tcW w:w="881" w:type="dxa"/>
            <w:tcBorders>
              <w:top w:val="nil"/>
              <w:left w:val="nil"/>
              <w:bottom w:val="single" w:color="auto" w:sz="4" w:space="0"/>
              <w:right w:val="single" w:color="auto" w:sz="8" w:space="0"/>
            </w:tcBorders>
            <w:shd w:val="clear" w:color="auto" w:fill="auto"/>
            <w:noWrap/>
            <w:vAlign w:val="center"/>
          </w:tcPr>
          <w:p>
            <w:pPr>
              <w:widowControl/>
              <w:spacing w:line="320" w:lineRule="exact"/>
              <w:jc w:val="center"/>
              <w:rPr>
                <w:rFonts w:ascii="仿宋_GB2312" w:hAnsi="宋体" w:eastAsia="仿宋_GB2312" w:cs="宋体"/>
                <w:color w:val="000000"/>
                <w:kern w:val="0"/>
                <w:sz w:val="15"/>
                <w:szCs w:val="15"/>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30302</w:t>
            </w:r>
          </w:p>
        </w:tc>
        <w:tc>
          <w:tcPr>
            <w:tcW w:w="3023"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退休费</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325.04</w:t>
            </w:r>
          </w:p>
        </w:tc>
        <w:tc>
          <w:tcPr>
            <w:tcW w:w="1138"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30217</w:t>
            </w:r>
          </w:p>
        </w:tc>
        <w:tc>
          <w:tcPr>
            <w:tcW w:w="1984"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公务接待费</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0.41</w:t>
            </w:r>
          </w:p>
        </w:tc>
        <w:tc>
          <w:tcPr>
            <w:tcW w:w="1010"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31012</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拆迁补偿</w:t>
            </w:r>
          </w:p>
        </w:tc>
        <w:tc>
          <w:tcPr>
            <w:tcW w:w="881" w:type="dxa"/>
            <w:tcBorders>
              <w:top w:val="nil"/>
              <w:left w:val="nil"/>
              <w:bottom w:val="single" w:color="auto" w:sz="4" w:space="0"/>
              <w:right w:val="single" w:color="auto" w:sz="8" w:space="0"/>
            </w:tcBorders>
            <w:shd w:val="clear" w:color="auto" w:fill="auto"/>
            <w:noWrap/>
            <w:vAlign w:val="center"/>
          </w:tcPr>
          <w:p>
            <w:pPr>
              <w:widowControl/>
              <w:spacing w:line="320" w:lineRule="exact"/>
              <w:jc w:val="center"/>
              <w:rPr>
                <w:rFonts w:ascii="仿宋_GB2312" w:hAnsi="宋体" w:eastAsia="仿宋_GB2312" w:cs="宋体"/>
                <w:color w:val="000000"/>
                <w:kern w:val="0"/>
                <w:sz w:val="15"/>
                <w:szCs w:val="15"/>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30303</w:t>
            </w:r>
          </w:p>
        </w:tc>
        <w:tc>
          <w:tcPr>
            <w:tcW w:w="3023"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退职（役）费</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　</w:t>
            </w:r>
          </w:p>
        </w:tc>
        <w:tc>
          <w:tcPr>
            <w:tcW w:w="1138"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30218</w:t>
            </w:r>
          </w:p>
        </w:tc>
        <w:tc>
          <w:tcPr>
            <w:tcW w:w="1984"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专用材料费</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　</w:t>
            </w:r>
          </w:p>
        </w:tc>
        <w:tc>
          <w:tcPr>
            <w:tcW w:w="1010"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31013</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公务用车购置</w:t>
            </w:r>
          </w:p>
        </w:tc>
        <w:tc>
          <w:tcPr>
            <w:tcW w:w="881" w:type="dxa"/>
            <w:tcBorders>
              <w:top w:val="nil"/>
              <w:left w:val="nil"/>
              <w:bottom w:val="single" w:color="auto" w:sz="4" w:space="0"/>
              <w:right w:val="single" w:color="auto" w:sz="8" w:space="0"/>
            </w:tcBorders>
            <w:shd w:val="clear" w:color="auto" w:fill="auto"/>
            <w:noWrap/>
            <w:vAlign w:val="center"/>
          </w:tcPr>
          <w:p>
            <w:pPr>
              <w:widowControl/>
              <w:spacing w:line="320" w:lineRule="exact"/>
              <w:jc w:val="center"/>
              <w:rPr>
                <w:rFonts w:ascii="仿宋_GB2312" w:hAnsi="宋体" w:eastAsia="仿宋_GB2312" w:cs="宋体"/>
                <w:color w:val="000000"/>
                <w:kern w:val="0"/>
                <w:sz w:val="15"/>
                <w:szCs w:val="15"/>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30304</w:t>
            </w:r>
          </w:p>
        </w:tc>
        <w:tc>
          <w:tcPr>
            <w:tcW w:w="3023"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抚恤金</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　</w:t>
            </w:r>
          </w:p>
        </w:tc>
        <w:tc>
          <w:tcPr>
            <w:tcW w:w="1138"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30224</w:t>
            </w:r>
          </w:p>
        </w:tc>
        <w:tc>
          <w:tcPr>
            <w:tcW w:w="1984"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被装购置费</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　</w:t>
            </w:r>
          </w:p>
        </w:tc>
        <w:tc>
          <w:tcPr>
            <w:tcW w:w="1010"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31019</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其他交通工具购置</w:t>
            </w:r>
          </w:p>
        </w:tc>
        <w:tc>
          <w:tcPr>
            <w:tcW w:w="881" w:type="dxa"/>
            <w:tcBorders>
              <w:top w:val="nil"/>
              <w:left w:val="nil"/>
              <w:bottom w:val="single" w:color="auto" w:sz="4" w:space="0"/>
              <w:right w:val="single" w:color="auto" w:sz="8" w:space="0"/>
            </w:tcBorders>
            <w:shd w:val="clear" w:color="auto" w:fill="auto"/>
            <w:noWrap/>
            <w:vAlign w:val="center"/>
          </w:tcPr>
          <w:p>
            <w:pPr>
              <w:widowControl/>
              <w:spacing w:line="320" w:lineRule="exact"/>
              <w:jc w:val="center"/>
              <w:rPr>
                <w:rFonts w:ascii="仿宋_GB2312" w:hAnsi="宋体" w:eastAsia="仿宋_GB2312" w:cs="宋体"/>
                <w:color w:val="000000"/>
                <w:kern w:val="0"/>
                <w:sz w:val="15"/>
                <w:szCs w:val="15"/>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30305</w:t>
            </w:r>
          </w:p>
        </w:tc>
        <w:tc>
          <w:tcPr>
            <w:tcW w:w="3023"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生活补助</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2.85</w:t>
            </w:r>
          </w:p>
        </w:tc>
        <w:tc>
          <w:tcPr>
            <w:tcW w:w="1138"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30225</w:t>
            </w:r>
          </w:p>
        </w:tc>
        <w:tc>
          <w:tcPr>
            <w:tcW w:w="1984"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专用燃料费</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　</w:t>
            </w:r>
          </w:p>
        </w:tc>
        <w:tc>
          <w:tcPr>
            <w:tcW w:w="1010"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31021</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文物和陈列品购置</w:t>
            </w:r>
          </w:p>
        </w:tc>
        <w:tc>
          <w:tcPr>
            <w:tcW w:w="881" w:type="dxa"/>
            <w:tcBorders>
              <w:top w:val="nil"/>
              <w:left w:val="nil"/>
              <w:bottom w:val="single" w:color="auto" w:sz="4" w:space="0"/>
              <w:right w:val="single" w:color="auto" w:sz="8" w:space="0"/>
            </w:tcBorders>
            <w:shd w:val="clear" w:color="auto" w:fill="auto"/>
            <w:noWrap/>
            <w:vAlign w:val="center"/>
          </w:tcPr>
          <w:p>
            <w:pPr>
              <w:widowControl/>
              <w:spacing w:line="320" w:lineRule="exact"/>
              <w:jc w:val="center"/>
              <w:rPr>
                <w:rFonts w:ascii="仿宋_GB2312" w:hAnsi="宋体" w:eastAsia="仿宋_GB2312" w:cs="宋体"/>
                <w:color w:val="000000"/>
                <w:kern w:val="0"/>
                <w:sz w:val="15"/>
                <w:szCs w:val="15"/>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30306</w:t>
            </w:r>
          </w:p>
        </w:tc>
        <w:tc>
          <w:tcPr>
            <w:tcW w:w="3023"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救济费</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　</w:t>
            </w:r>
          </w:p>
        </w:tc>
        <w:tc>
          <w:tcPr>
            <w:tcW w:w="1138"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30226</w:t>
            </w:r>
          </w:p>
        </w:tc>
        <w:tc>
          <w:tcPr>
            <w:tcW w:w="1984"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劳务费</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20.18</w:t>
            </w:r>
          </w:p>
        </w:tc>
        <w:tc>
          <w:tcPr>
            <w:tcW w:w="1010"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31022</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无形资产购置</w:t>
            </w:r>
          </w:p>
        </w:tc>
        <w:tc>
          <w:tcPr>
            <w:tcW w:w="881" w:type="dxa"/>
            <w:tcBorders>
              <w:top w:val="nil"/>
              <w:left w:val="nil"/>
              <w:bottom w:val="single" w:color="auto" w:sz="4" w:space="0"/>
              <w:right w:val="single" w:color="auto" w:sz="8" w:space="0"/>
            </w:tcBorders>
            <w:shd w:val="clear" w:color="auto" w:fill="auto"/>
            <w:noWrap/>
            <w:vAlign w:val="center"/>
          </w:tcPr>
          <w:p>
            <w:pPr>
              <w:widowControl/>
              <w:spacing w:line="320" w:lineRule="exact"/>
              <w:jc w:val="center"/>
              <w:rPr>
                <w:rFonts w:ascii="仿宋_GB2312" w:hAnsi="宋体" w:eastAsia="仿宋_GB2312" w:cs="宋体"/>
                <w:color w:val="000000"/>
                <w:kern w:val="0"/>
                <w:sz w:val="15"/>
                <w:szCs w:val="15"/>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30307</w:t>
            </w:r>
          </w:p>
        </w:tc>
        <w:tc>
          <w:tcPr>
            <w:tcW w:w="3023"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医疗费补助</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82.66</w:t>
            </w:r>
          </w:p>
        </w:tc>
        <w:tc>
          <w:tcPr>
            <w:tcW w:w="1138"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30227</w:t>
            </w:r>
          </w:p>
        </w:tc>
        <w:tc>
          <w:tcPr>
            <w:tcW w:w="1984"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委托业务费</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　</w:t>
            </w:r>
          </w:p>
        </w:tc>
        <w:tc>
          <w:tcPr>
            <w:tcW w:w="1010"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31099</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其他资本性支出</w:t>
            </w:r>
          </w:p>
        </w:tc>
        <w:tc>
          <w:tcPr>
            <w:tcW w:w="881" w:type="dxa"/>
            <w:tcBorders>
              <w:top w:val="nil"/>
              <w:left w:val="nil"/>
              <w:bottom w:val="single" w:color="auto" w:sz="4" w:space="0"/>
              <w:right w:val="single" w:color="auto" w:sz="8" w:space="0"/>
            </w:tcBorders>
            <w:shd w:val="clear" w:color="auto" w:fill="auto"/>
            <w:noWrap/>
            <w:vAlign w:val="center"/>
          </w:tcPr>
          <w:p>
            <w:pPr>
              <w:widowControl/>
              <w:spacing w:line="320" w:lineRule="exact"/>
              <w:jc w:val="center"/>
              <w:rPr>
                <w:rFonts w:ascii="仿宋_GB2312" w:hAnsi="宋体" w:eastAsia="仿宋_GB2312" w:cs="宋体"/>
                <w:color w:val="000000"/>
                <w:kern w:val="0"/>
                <w:sz w:val="15"/>
                <w:szCs w:val="15"/>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30308</w:t>
            </w:r>
          </w:p>
        </w:tc>
        <w:tc>
          <w:tcPr>
            <w:tcW w:w="3023"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助学金</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　</w:t>
            </w:r>
          </w:p>
        </w:tc>
        <w:tc>
          <w:tcPr>
            <w:tcW w:w="1138"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30228</w:t>
            </w:r>
          </w:p>
        </w:tc>
        <w:tc>
          <w:tcPr>
            <w:tcW w:w="1984"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工会经费</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30.48</w:t>
            </w:r>
          </w:p>
        </w:tc>
        <w:tc>
          <w:tcPr>
            <w:tcW w:w="1010"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312</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对企业补助</w:t>
            </w:r>
          </w:p>
        </w:tc>
        <w:tc>
          <w:tcPr>
            <w:tcW w:w="881" w:type="dxa"/>
            <w:tcBorders>
              <w:top w:val="nil"/>
              <w:left w:val="nil"/>
              <w:bottom w:val="single" w:color="auto" w:sz="4" w:space="0"/>
              <w:right w:val="single" w:color="auto" w:sz="8" w:space="0"/>
            </w:tcBorders>
            <w:shd w:val="clear" w:color="auto" w:fill="auto"/>
            <w:noWrap/>
            <w:vAlign w:val="center"/>
          </w:tcPr>
          <w:p>
            <w:pPr>
              <w:widowControl/>
              <w:spacing w:line="320" w:lineRule="exact"/>
              <w:jc w:val="center"/>
              <w:rPr>
                <w:rFonts w:ascii="仿宋_GB2312" w:hAnsi="宋体" w:eastAsia="仿宋_GB2312" w:cs="宋体"/>
                <w:color w:val="000000"/>
                <w:kern w:val="0"/>
                <w:sz w:val="15"/>
                <w:szCs w:val="15"/>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30309</w:t>
            </w:r>
          </w:p>
        </w:tc>
        <w:tc>
          <w:tcPr>
            <w:tcW w:w="3023"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奖励金</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　</w:t>
            </w:r>
          </w:p>
        </w:tc>
        <w:tc>
          <w:tcPr>
            <w:tcW w:w="1138"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30229</w:t>
            </w:r>
          </w:p>
        </w:tc>
        <w:tc>
          <w:tcPr>
            <w:tcW w:w="1984"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福利费</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　</w:t>
            </w:r>
          </w:p>
        </w:tc>
        <w:tc>
          <w:tcPr>
            <w:tcW w:w="1010"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31201</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资本金注入</w:t>
            </w:r>
          </w:p>
        </w:tc>
        <w:tc>
          <w:tcPr>
            <w:tcW w:w="881" w:type="dxa"/>
            <w:tcBorders>
              <w:top w:val="nil"/>
              <w:left w:val="nil"/>
              <w:bottom w:val="single" w:color="auto" w:sz="4" w:space="0"/>
              <w:right w:val="single" w:color="auto" w:sz="8" w:space="0"/>
            </w:tcBorders>
            <w:shd w:val="clear" w:color="auto" w:fill="auto"/>
            <w:noWrap/>
            <w:vAlign w:val="center"/>
          </w:tcPr>
          <w:p>
            <w:pPr>
              <w:widowControl/>
              <w:spacing w:line="320" w:lineRule="exact"/>
              <w:jc w:val="center"/>
              <w:rPr>
                <w:rFonts w:ascii="仿宋_GB2312" w:hAnsi="宋体" w:eastAsia="仿宋_GB2312" w:cs="宋体"/>
                <w:color w:val="000000"/>
                <w:kern w:val="0"/>
                <w:sz w:val="15"/>
                <w:szCs w:val="15"/>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30310</w:t>
            </w:r>
          </w:p>
        </w:tc>
        <w:tc>
          <w:tcPr>
            <w:tcW w:w="3023"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个人农业生产补贴</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　</w:t>
            </w:r>
          </w:p>
        </w:tc>
        <w:tc>
          <w:tcPr>
            <w:tcW w:w="1138"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30231</w:t>
            </w:r>
          </w:p>
        </w:tc>
        <w:tc>
          <w:tcPr>
            <w:tcW w:w="1984"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公务用车运行维护费</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2.90</w:t>
            </w:r>
          </w:p>
        </w:tc>
        <w:tc>
          <w:tcPr>
            <w:tcW w:w="1010"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31203</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政府投资基金股权投资</w:t>
            </w:r>
          </w:p>
        </w:tc>
        <w:tc>
          <w:tcPr>
            <w:tcW w:w="881" w:type="dxa"/>
            <w:tcBorders>
              <w:top w:val="nil"/>
              <w:left w:val="nil"/>
              <w:bottom w:val="single" w:color="auto" w:sz="4" w:space="0"/>
              <w:right w:val="single" w:color="auto" w:sz="8" w:space="0"/>
            </w:tcBorders>
            <w:shd w:val="clear" w:color="auto" w:fill="auto"/>
            <w:noWrap/>
            <w:vAlign w:val="center"/>
          </w:tcPr>
          <w:p>
            <w:pPr>
              <w:widowControl/>
              <w:spacing w:line="320" w:lineRule="exact"/>
              <w:jc w:val="center"/>
              <w:rPr>
                <w:rFonts w:ascii="仿宋_GB2312" w:hAnsi="宋体" w:eastAsia="仿宋_GB2312" w:cs="宋体"/>
                <w:color w:val="000000"/>
                <w:kern w:val="0"/>
                <w:sz w:val="15"/>
                <w:szCs w:val="15"/>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30399</w:t>
            </w:r>
          </w:p>
        </w:tc>
        <w:tc>
          <w:tcPr>
            <w:tcW w:w="3023"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其他对个人和家庭的补助</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　</w:t>
            </w:r>
          </w:p>
        </w:tc>
        <w:tc>
          <w:tcPr>
            <w:tcW w:w="1138"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30239</w:t>
            </w:r>
          </w:p>
        </w:tc>
        <w:tc>
          <w:tcPr>
            <w:tcW w:w="1984"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其他交通费用</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131.20</w:t>
            </w:r>
          </w:p>
        </w:tc>
        <w:tc>
          <w:tcPr>
            <w:tcW w:w="1010"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31204</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费用补贴</w:t>
            </w:r>
          </w:p>
        </w:tc>
        <w:tc>
          <w:tcPr>
            <w:tcW w:w="881" w:type="dxa"/>
            <w:tcBorders>
              <w:top w:val="nil"/>
              <w:left w:val="nil"/>
              <w:bottom w:val="single" w:color="auto" w:sz="4" w:space="0"/>
              <w:right w:val="single" w:color="auto" w:sz="8" w:space="0"/>
            </w:tcBorders>
            <w:shd w:val="clear" w:color="auto" w:fill="auto"/>
            <w:noWrap/>
            <w:vAlign w:val="center"/>
          </w:tcPr>
          <w:p>
            <w:pPr>
              <w:widowControl/>
              <w:spacing w:line="320" w:lineRule="exact"/>
              <w:jc w:val="center"/>
              <w:rPr>
                <w:rFonts w:ascii="仿宋_GB2312" w:hAnsi="宋体" w:eastAsia="仿宋_GB2312" w:cs="宋体"/>
                <w:color w:val="000000"/>
                <w:kern w:val="0"/>
                <w:sz w:val="15"/>
                <w:szCs w:val="15"/>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p>
        </w:tc>
        <w:tc>
          <w:tcPr>
            <w:tcW w:w="3023"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p>
        </w:tc>
        <w:tc>
          <w:tcPr>
            <w:tcW w:w="900" w:type="dxa"/>
            <w:tcBorders>
              <w:top w:val="nil"/>
              <w:left w:val="nil"/>
              <w:bottom w:val="single" w:color="auto" w:sz="4" w:space="0"/>
              <w:right w:val="single" w:color="auto" w:sz="4" w:space="0"/>
            </w:tcBorders>
            <w:shd w:val="clear" w:color="auto" w:fill="auto"/>
            <w:noWrap/>
            <w:vAlign w:val="center"/>
          </w:tcPr>
          <w:p>
            <w:pPr>
              <w:widowControl/>
              <w:spacing w:line="320" w:lineRule="exact"/>
              <w:jc w:val="right"/>
              <w:rPr>
                <w:rFonts w:ascii="仿宋_GB2312" w:hAnsi="宋体" w:eastAsia="仿宋_GB2312" w:cs="宋体"/>
                <w:color w:val="000000"/>
                <w:kern w:val="0"/>
                <w:sz w:val="15"/>
                <w:szCs w:val="15"/>
              </w:rPr>
            </w:pPr>
          </w:p>
        </w:tc>
        <w:tc>
          <w:tcPr>
            <w:tcW w:w="1138"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30240</w:t>
            </w:r>
          </w:p>
        </w:tc>
        <w:tc>
          <w:tcPr>
            <w:tcW w:w="1984"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税金及附加费用</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　</w:t>
            </w:r>
          </w:p>
        </w:tc>
        <w:tc>
          <w:tcPr>
            <w:tcW w:w="1010"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31205</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利息补贴</w:t>
            </w:r>
          </w:p>
        </w:tc>
        <w:tc>
          <w:tcPr>
            <w:tcW w:w="881" w:type="dxa"/>
            <w:tcBorders>
              <w:top w:val="nil"/>
              <w:left w:val="nil"/>
              <w:bottom w:val="single" w:color="auto" w:sz="4" w:space="0"/>
              <w:right w:val="single" w:color="auto" w:sz="8" w:space="0"/>
            </w:tcBorders>
            <w:shd w:val="clear" w:color="auto" w:fill="auto"/>
            <w:noWrap/>
            <w:vAlign w:val="center"/>
          </w:tcPr>
          <w:p>
            <w:pPr>
              <w:widowControl/>
              <w:spacing w:line="320" w:lineRule="exact"/>
              <w:jc w:val="center"/>
              <w:rPr>
                <w:rFonts w:ascii="仿宋_GB2312" w:hAnsi="宋体" w:eastAsia="仿宋_GB2312" w:cs="宋体"/>
                <w:color w:val="000000"/>
                <w:kern w:val="0"/>
                <w:sz w:val="15"/>
                <w:szCs w:val="15"/>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p>
        </w:tc>
        <w:tc>
          <w:tcPr>
            <w:tcW w:w="3023"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p>
        </w:tc>
        <w:tc>
          <w:tcPr>
            <w:tcW w:w="900" w:type="dxa"/>
            <w:tcBorders>
              <w:top w:val="nil"/>
              <w:left w:val="nil"/>
              <w:bottom w:val="single" w:color="auto" w:sz="4" w:space="0"/>
              <w:right w:val="single" w:color="auto" w:sz="4" w:space="0"/>
            </w:tcBorders>
            <w:shd w:val="clear" w:color="auto" w:fill="auto"/>
            <w:noWrap/>
            <w:vAlign w:val="center"/>
          </w:tcPr>
          <w:p>
            <w:pPr>
              <w:widowControl/>
              <w:spacing w:line="320" w:lineRule="exact"/>
              <w:jc w:val="right"/>
              <w:rPr>
                <w:rFonts w:ascii="仿宋_GB2312" w:hAnsi="宋体" w:eastAsia="仿宋_GB2312" w:cs="宋体"/>
                <w:color w:val="000000"/>
                <w:kern w:val="0"/>
                <w:sz w:val="15"/>
                <w:szCs w:val="15"/>
              </w:rPr>
            </w:pPr>
          </w:p>
        </w:tc>
        <w:tc>
          <w:tcPr>
            <w:tcW w:w="1138"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30299</w:t>
            </w:r>
          </w:p>
        </w:tc>
        <w:tc>
          <w:tcPr>
            <w:tcW w:w="1984"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其他商品和服务支出</w:t>
            </w:r>
          </w:p>
        </w:tc>
        <w:tc>
          <w:tcPr>
            <w:tcW w:w="900" w:type="dxa"/>
            <w:tcBorders>
              <w:top w:val="nil"/>
              <w:left w:val="nil"/>
              <w:bottom w:val="single" w:color="auto" w:sz="4" w:space="0"/>
              <w:right w:val="single" w:color="auto" w:sz="4" w:space="0"/>
            </w:tcBorders>
            <w:shd w:val="clear" w:color="auto" w:fill="auto"/>
            <w:noWrap/>
            <w:vAlign w:val="center"/>
          </w:tcPr>
          <w:p>
            <w:pPr>
              <w:spacing w:line="320" w:lineRule="exact"/>
              <w:jc w:val="right"/>
              <w:rPr>
                <w:rFonts w:ascii="宋体" w:hAnsi="宋体" w:cs="Arial"/>
                <w:sz w:val="15"/>
                <w:szCs w:val="15"/>
              </w:rPr>
            </w:pPr>
            <w:r>
              <w:rPr>
                <w:rFonts w:hint="eastAsia" w:cs="Arial"/>
                <w:sz w:val="15"/>
                <w:szCs w:val="15"/>
              </w:rPr>
              <w:t>1,429.21</w:t>
            </w:r>
          </w:p>
        </w:tc>
        <w:tc>
          <w:tcPr>
            <w:tcW w:w="1010"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31299</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其他对企业补助</w:t>
            </w:r>
          </w:p>
        </w:tc>
        <w:tc>
          <w:tcPr>
            <w:tcW w:w="881" w:type="dxa"/>
            <w:tcBorders>
              <w:top w:val="nil"/>
              <w:left w:val="nil"/>
              <w:bottom w:val="single" w:color="auto" w:sz="4" w:space="0"/>
              <w:right w:val="single" w:color="auto" w:sz="8" w:space="0"/>
            </w:tcBorders>
            <w:shd w:val="clear" w:color="auto" w:fill="auto"/>
            <w:noWrap/>
            <w:vAlign w:val="center"/>
          </w:tcPr>
          <w:p>
            <w:pPr>
              <w:widowControl/>
              <w:spacing w:line="320" w:lineRule="exact"/>
              <w:jc w:val="center"/>
              <w:rPr>
                <w:rFonts w:ascii="仿宋_GB2312" w:hAnsi="宋体" w:eastAsia="仿宋_GB2312" w:cs="宋体"/>
                <w:color w:val="000000"/>
                <w:kern w:val="0"/>
                <w:sz w:val="15"/>
                <w:szCs w:val="15"/>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p>
        </w:tc>
        <w:tc>
          <w:tcPr>
            <w:tcW w:w="3023"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p>
        </w:tc>
        <w:tc>
          <w:tcPr>
            <w:tcW w:w="900" w:type="dxa"/>
            <w:tcBorders>
              <w:top w:val="nil"/>
              <w:left w:val="nil"/>
              <w:bottom w:val="single" w:color="auto" w:sz="4" w:space="0"/>
              <w:right w:val="single" w:color="auto" w:sz="4" w:space="0"/>
            </w:tcBorders>
            <w:shd w:val="clear" w:color="auto" w:fill="auto"/>
            <w:noWrap/>
            <w:vAlign w:val="center"/>
          </w:tcPr>
          <w:p>
            <w:pPr>
              <w:widowControl/>
              <w:spacing w:line="320" w:lineRule="exact"/>
              <w:jc w:val="right"/>
              <w:rPr>
                <w:rFonts w:ascii="仿宋_GB2312" w:hAnsi="宋体" w:eastAsia="仿宋_GB2312" w:cs="宋体"/>
                <w:color w:val="000000"/>
                <w:kern w:val="0"/>
                <w:sz w:val="15"/>
                <w:szCs w:val="15"/>
              </w:rPr>
            </w:pPr>
          </w:p>
        </w:tc>
        <w:tc>
          <w:tcPr>
            <w:tcW w:w="1138"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p>
        </w:tc>
        <w:tc>
          <w:tcPr>
            <w:tcW w:w="1984"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p>
        </w:tc>
        <w:tc>
          <w:tcPr>
            <w:tcW w:w="900" w:type="dxa"/>
            <w:tcBorders>
              <w:top w:val="nil"/>
              <w:left w:val="nil"/>
              <w:bottom w:val="single" w:color="auto" w:sz="4" w:space="0"/>
              <w:right w:val="single" w:color="auto" w:sz="4" w:space="0"/>
            </w:tcBorders>
            <w:shd w:val="clear" w:color="auto" w:fill="auto"/>
            <w:noWrap/>
            <w:vAlign w:val="center"/>
          </w:tcPr>
          <w:p>
            <w:pPr>
              <w:widowControl/>
              <w:spacing w:line="320" w:lineRule="exact"/>
              <w:jc w:val="right"/>
              <w:rPr>
                <w:rFonts w:ascii="仿宋_GB2312" w:hAnsi="宋体" w:eastAsia="仿宋_GB2312" w:cs="宋体"/>
                <w:color w:val="000000"/>
                <w:kern w:val="0"/>
                <w:sz w:val="15"/>
                <w:szCs w:val="15"/>
              </w:rPr>
            </w:pPr>
          </w:p>
        </w:tc>
        <w:tc>
          <w:tcPr>
            <w:tcW w:w="1010"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399</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其他支出</w:t>
            </w:r>
          </w:p>
        </w:tc>
        <w:tc>
          <w:tcPr>
            <w:tcW w:w="881" w:type="dxa"/>
            <w:tcBorders>
              <w:top w:val="nil"/>
              <w:left w:val="nil"/>
              <w:bottom w:val="single" w:color="auto" w:sz="4" w:space="0"/>
              <w:right w:val="single" w:color="auto" w:sz="8" w:space="0"/>
            </w:tcBorders>
            <w:shd w:val="clear" w:color="auto" w:fill="auto"/>
            <w:noWrap/>
            <w:vAlign w:val="center"/>
          </w:tcPr>
          <w:p>
            <w:pPr>
              <w:widowControl/>
              <w:spacing w:line="320" w:lineRule="exact"/>
              <w:jc w:val="center"/>
              <w:rPr>
                <w:rFonts w:ascii="仿宋_GB2312" w:hAnsi="宋体" w:eastAsia="仿宋_GB2312" w:cs="宋体"/>
                <w:color w:val="000000"/>
                <w:kern w:val="0"/>
                <w:sz w:val="15"/>
                <w:szCs w:val="15"/>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p>
        </w:tc>
        <w:tc>
          <w:tcPr>
            <w:tcW w:w="3023"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p>
        </w:tc>
        <w:tc>
          <w:tcPr>
            <w:tcW w:w="900" w:type="dxa"/>
            <w:tcBorders>
              <w:top w:val="nil"/>
              <w:left w:val="nil"/>
              <w:bottom w:val="single" w:color="auto" w:sz="4" w:space="0"/>
              <w:right w:val="single" w:color="auto" w:sz="4" w:space="0"/>
            </w:tcBorders>
            <w:shd w:val="clear" w:color="auto" w:fill="auto"/>
            <w:noWrap/>
            <w:vAlign w:val="center"/>
          </w:tcPr>
          <w:p>
            <w:pPr>
              <w:widowControl/>
              <w:spacing w:line="320" w:lineRule="exact"/>
              <w:jc w:val="right"/>
              <w:rPr>
                <w:rFonts w:ascii="仿宋_GB2312" w:hAnsi="宋体" w:eastAsia="仿宋_GB2312" w:cs="宋体"/>
                <w:color w:val="000000"/>
                <w:kern w:val="0"/>
                <w:sz w:val="15"/>
                <w:szCs w:val="15"/>
              </w:rPr>
            </w:pPr>
          </w:p>
        </w:tc>
        <w:tc>
          <w:tcPr>
            <w:tcW w:w="1138"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p>
        </w:tc>
        <w:tc>
          <w:tcPr>
            <w:tcW w:w="1984"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p>
        </w:tc>
        <w:tc>
          <w:tcPr>
            <w:tcW w:w="900" w:type="dxa"/>
            <w:tcBorders>
              <w:top w:val="nil"/>
              <w:left w:val="nil"/>
              <w:bottom w:val="single" w:color="auto" w:sz="4" w:space="0"/>
              <w:right w:val="single" w:color="auto" w:sz="4" w:space="0"/>
            </w:tcBorders>
            <w:shd w:val="clear" w:color="auto" w:fill="auto"/>
            <w:noWrap/>
            <w:vAlign w:val="center"/>
          </w:tcPr>
          <w:p>
            <w:pPr>
              <w:widowControl/>
              <w:spacing w:line="320" w:lineRule="exact"/>
              <w:jc w:val="right"/>
              <w:rPr>
                <w:rFonts w:ascii="仿宋_GB2312" w:hAnsi="宋体" w:eastAsia="仿宋_GB2312" w:cs="宋体"/>
                <w:color w:val="000000"/>
                <w:kern w:val="0"/>
                <w:sz w:val="15"/>
                <w:szCs w:val="15"/>
              </w:rPr>
            </w:pPr>
          </w:p>
        </w:tc>
        <w:tc>
          <w:tcPr>
            <w:tcW w:w="1010"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39906</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赠与</w:t>
            </w:r>
          </w:p>
        </w:tc>
        <w:tc>
          <w:tcPr>
            <w:tcW w:w="881" w:type="dxa"/>
            <w:tcBorders>
              <w:top w:val="nil"/>
              <w:left w:val="nil"/>
              <w:bottom w:val="single" w:color="auto" w:sz="4" w:space="0"/>
              <w:right w:val="single" w:color="auto" w:sz="8" w:space="0"/>
            </w:tcBorders>
            <w:shd w:val="clear" w:color="auto" w:fill="auto"/>
            <w:noWrap/>
            <w:vAlign w:val="center"/>
          </w:tcPr>
          <w:p>
            <w:pPr>
              <w:widowControl/>
              <w:spacing w:line="320" w:lineRule="exact"/>
              <w:jc w:val="center"/>
              <w:rPr>
                <w:rFonts w:ascii="仿宋_GB2312" w:hAnsi="宋体" w:eastAsia="仿宋_GB2312" w:cs="宋体"/>
                <w:color w:val="000000"/>
                <w:kern w:val="0"/>
                <w:sz w:val="15"/>
                <w:szCs w:val="15"/>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shd w:val="clear" w:color="auto" w:fill="auto"/>
            <w:noWrap/>
            <w:vAlign w:val="center"/>
          </w:tcPr>
          <w:p>
            <w:pPr>
              <w:widowControl/>
              <w:spacing w:line="320" w:lineRule="exact"/>
              <w:jc w:val="right"/>
              <w:rPr>
                <w:rFonts w:ascii="仿宋_GB2312" w:hAnsi="宋体" w:eastAsia="仿宋_GB2312" w:cs="宋体"/>
                <w:color w:val="000000"/>
                <w:kern w:val="0"/>
                <w:sz w:val="15"/>
                <w:szCs w:val="15"/>
              </w:rPr>
            </w:pPr>
          </w:p>
        </w:tc>
        <w:tc>
          <w:tcPr>
            <w:tcW w:w="3023" w:type="dxa"/>
            <w:tcBorders>
              <w:top w:val="nil"/>
              <w:left w:val="nil"/>
              <w:bottom w:val="single" w:color="auto" w:sz="4" w:space="0"/>
              <w:right w:val="single" w:color="auto" w:sz="4" w:space="0"/>
            </w:tcBorders>
            <w:shd w:val="clear" w:color="auto" w:fill="auto"/>
            <w:noWrap/>
            <w:vAlign w:val="center"/>
          </w:tcPr>
          <w:p>
            <w:pPr>
              <w:widowControl/>
              <w:spacing w:line="320" w:lineRule="exact"/>
              <w:jc w:val="right"/>
              <w:rPr>
                <w:rFonts w:ascii="仿宋_GB2312" w:hAnsi="宋体" w:eastAsia="仿宋_GB2312" w:cs="宋体"/>
                <w:color w:val="000000"/>
                <w:kern w:val="0"/>
                <w:sz w:val="15"/>
                <w:szCs w:val="15"/>
              </w:rPr>
            </w:pPr>
          </w:p>
        </w:tc>
        <w:tc>
          <w:tcPr>
            <w:tcW w:w="900" w:type="dxa"/>
            <w:tcBorders>
              <w:top w:val="nil"/>
              <w:left w:val="nil"/>
              <w:bottom w:val="single" w:color="auto" w:sz="4" w:space="0"/>
              <w:right w:val="single" w:color="auto" w:sz="4" w:space="0"/>
            </w:tcBorders>
            <w:shd w:val="clear" w:color="auto" w:fill="auto"/>
            <w:noWrap/>
            <w:vAlign w:val="center"/>
          </w:tcPr>
          <w:p>
            <w:pPr>
              <w:widowControl/>
              <w:spacing w:line="320" w:lineRule="exact"/>
              <w:jc w:val="right"/>
              <w:rPr>
                <w:rFonts w:ascii="仿宋_GB2312" w:hAnsi="宋体" w:eastAsia="仿宋_GB2312" w:cs="宋体"/>
                <w:color w:val="000000"/>
                <w:kern w:val="0"/>
                <w:sz w:val="15"/>
                <w:szCs w:val="15"/>
              </w:rPr>
            </w:pPr>
          </w:p>
        </w:tc>
        <w:tc>
          <w:tcPr>
            <w:tcW w:w="1138"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p>
        </w:tc>
        <w:tc>
          <w:tcPr>
            <w:tcW w:w="1984"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p>
        </w:tc>
        <w:tc>
          <w:tcPr>
            <w:tcW w:w="900" w:type="dxa"/>
            <w:tcBorders>
              <w:top w:val="nil"/>
              <w:left w:val="nil"/>
              <w:bottom w:val="single" w:color="auto" w:sz="4" w:space="0"/>
              <w:right w:val="single" w:color="auto" w:sz="4" w:space="0"/>
            </w:tcBorders>
            <w:shd w:val="clear" w:color="auto" w:fill="auto"/>
            <w:noWrap/>
            <w:vAlign w:val="center"/>
          </w:tcPr>
          <w:p>
            <w:pPr>
              <w:widowControl/>
              <w:spacing w:line="320" w:lineRule="exact"/>
              <w:jc w:val="right"/>
              <w:rPr>
                <w:rFonts w:ascii="仿宋_GB2312" w:hAnsi="宋体" w:eastAsia="仿宋_GB2312" w:cs="宋体"/>
                <w:color w:val="000000"/>
                <w:kern w:val="0"/>
                <w:sz w:val="15"/>
                <w:szCs w:val="15"/>
              </w:rPr>
            </w:pPr>
          </w:p>
        </w:tc>
        <w:tc>
          <w:tcPr>
            <w:tcW w:w="1010"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39907</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国家赔偿费用支出</w:t>
            </w:r>
          </w:p>
        </w:tc>
        <w:tc>
          <w:tcPr>
            <w:tcW w:w="881" w:type="dxa"/>
            <w:tcBorders>
              <w:top w:val="nil"/>
              <w:left w:val="nil"/>
              <w:bottom w:val="single" w:color="auto" w:sz="4" w:space="0"/>
              <w:right w:val="single" w:color="auto" w:sz="8" w:space="0"/>
            </w:tcBorders>
            <w:shd w:val="clear" w:color="auto" w:fill="auto"/>
            <w:noWrap/>
            <w:vAlign w:val="center"/>
          </w:tcPr>
          <w:p>
            <w:pPr>
              <w:widowControl/>
              <w:spacing w:line="320" w:lineRule="exact"/>
              <w:jc w:val="center"/>
              <w:rPr>
                <w:rFonts w:ascii="仿宋_GB2312" w:hAnsi="宋体" w:eastAsia="仿宋_GB2312" w:cs="宋体"/>
                <w:color w:val="000000"/>
                <w:kern w:val="0"/>
                <w:sz w:val="15"/>
                <w:szCs w:val="15"/>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shd w:val="clear" w:color="auto" w:fill="auto"/>
            <w:noWrap/>
            <w:vAlign w:val="center"/>
          </w:tcPr>
          <w:p>
            <w:pPr>
              <w:widowControl/>
              <w:spacing w:line="320" w:lineRule="exact"/>
              <w:jc w:val="right"/>
              <w:rPr>
                <w:rFonts w:ascii="仿宋_GB2312" w:hAnsi="宋体" w:eastAsia="仿宋_GB2312" w:cs="宋体"/>
                <w:color w:val="000000"/>
                <w:kern w:val="0"/>
                <w:sz w:val="15"/>
                <w:szCs w:val="15"/>
              </w:rPr>
            </w:pPr>
          </w:p>
        </w:tc>
        <w:tc>
          <w:tcPr>
            <w:tcW w:w="3023" w:type="dxa"/>
            <w:tcBorders>
              <w:top w:val="nil"/>
              <w:left w:val="nil"/>
              <w:bottom w:val="single" w:color="auto" w:sz="4" w:space="0"/>
              <w:right w:val="single" w:color="auto" w:sz="4" w:space="0"/>
            </w:tcBorders>
            <w:shd w:val="clear" w:color="auto" w:fill="auto"/>
            <w:noWrap/>
            <w:vAlign w:val="center"/>
          </w:tcPr>
          <w:p>
            <w:pPr>
              <w:widowControl/>
              <w:spacing w:line="320" w:lineRule="exact"/>
              <w:jc w:val="right"/>
              <w:rPr>
                <w:rFonts w:ascii="仿宋_GB2312" w:hAnsi="宋体" w:eastAsia="仿宋_GB2312" w:cs="宋体"/>
                <w:color w:val="000000"/>
                <w:kern w:val="0"/>
                <w:sz w:val="15"/>
                <w:szCs w:val="15"/>
              </w:rPr>
            </w:pPr>
          </w:p>
        </w:tc>
        <w:tc>
          <w:tcPr>
            <w:tcW w:w="900" w:type="dxa"/>
            <w:tcBorders>
              <w:top w:val="nil"/>
              <w:left w:val="nil"/>
              <w:bottom w:val="single" w:color="auto" w:sz="4" w:space="0"/>
              <w:right w:val="single" w:color="auto" w:sz="4" w:space="0"/>
            </w:tcBorders>
            <w:shd w:val="clear" w:color="auto" w:fill="auto"/>
            <w:noWrap/>
            <w:vAlign w:val="center"/>
          </w:tcPr>
          <w:p>
            <w:pPr>
              <w:widowControl/>
              <w:spacing w:line="320" w:lineRule="exact"/>
              <w:jc w:val="right"/>
              <w:rPr>
                <w:rFonts w:ascii="仿宋_GB2312" w:hAnsi="宋体" w:eastAsia="仿宋_GB2312" w:cs="宋体"/>
                <w:color w:val="000000"/>
                <w:kern w:val="0"/>
                <w:sz w:val="15"/>
                <w:szCs w:val="15"/>
              </w:rPr>
            </w:pPr>
          </w:p>
        </w:tc>
        <w:tc>
          <w:tcPr>
            <w:tcW w:w="1138"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p>
        </w:tc>
        <w:tc>
          <w:tcPr>
            <w:tcW w:w="1984"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p>
        </w:tc>
        <w:tc>
          <w:tcPr>
            <w:tcW w:w="900" w:type="dxa"/>
            <w:tcBorders>
              <w:top w:val="nil"/>
              <w:left w:val="nil"/>
              <w:bottom w:val="single" w:color="auto" w:sz="4" w:space="0"/>
              <w:right w:val="single" w:color="auto" w:sz="4" w:space="0"/>
            </w:tcBorders>
            <w:shd w:val="clear" w:color="auto" w:fill="auto"/>
            <w:noWrap/>
            <w:vAlign w:val="center"/>
          </w:tcPr>
          <w:p>
            <w:pPr>
              <w:widowControl/>
              <w:spacing w:line="320" w:lineRule="exact"/>
              <w:jc w:val="right"/>
              <w:rPr>
                <w:rFonts w:ascii="仿宋_GB2312" w:hAnsi="宋体" w:eastAsia="仿宋_GB2312" w:cs="宋体"/>
                <w:color w:val="000000"/>
                <w:kern w:val="0"/>
                <w:sz w:val="15"/>
                <w:szCs w:val="15"/>
              </w:rPr>
            </w:pPr>
          </w:p>
        </w:tc>
        <w:tc>
          <w:tcPr>
            <w:tcW w:w="1010"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39908</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对民间非营利组织和群众性自治组织补贴</w:t>
            </w:r>
          </w:p>
        </w:tc>
        <w:tc>
          <w:tcPr>
            <w:tcW w:w="881" w:type="dxa"/>
            <w:tcBorders>
              <w:top w:val="nil"/>
              <w:left w:val="nil"/>
              <w:bottom w:val="single" w:color="auto" w:sz="4" w:space="0"/>
              <w:right w:val="single" w:color="auto" w:sz="8" w:space="0"/>
            </w:tcBorders>
            <w:shd w:val="clear" w:color="auto" w:fill="auto"/>
            <w:noWrap/>
            <w:vAlign w:val="center"/>
          </w:tcPr>
          <w:p>
            <w:pPr>
              <w:widowControl/>
              <w:spacing w:line="320" w:lineRule="exact"/>
              <w:jc w:val="center"/>
              <w:rPr>
                <w:rFonts w:ascii="仿宋_GB2312" w:hAnsi="宋体" w:eastAsia="仿宋_GB2312" w:cs="宋体"/>
                <w:color w:val="000000"/>
                <w:kern w:val="0"/>
                <w:sz w:val="15"/>
                <w:szCs w:val="15"/>
              </w:rPr>
            </w:pPr>
          </w:p>
        </w:tc>
      </w:tr>
      <w:tr>
        <w:tblPrEx>
          <w:tblCellMar>
            <w:top w:w="0" w:type="dxa"/>
            <w:left w:w="108" w:type="dxa"/>
            <w:bottom w:w="0" w:type="dxa"/>
            <w:right w:w="108" w:type="dxa"/>
          </w:tblCellMar>
        </w:tblPrEx>
        <w:trPr>
          <w:trHeight w:val="20" w:hRule="atLeast"/>
          <w:jc w:val="center"/>
        </w:trPr>
        <w:tc>
          <w:tcPr>
            <w:tcW w:w="1008" w:type="dxa"/>
            <w:tcBorders>
              <w:top w:val="nil"/>
              <w:left w:val="single" w:color="auto" w:sz="8" w:space="0"/>
              <w:bottom w:val="single" w:color="auto" w:sz="4" w:space="0"/>
              <w:right w:val="single" w:color="auto" w:sz="4" w:space="0"/>
            </w:tcBorders>
            <w:shd w:val="clear" w:color="auto" w:fill="auto"/>
            <w:noWrap/>
            <w:vAlign w:val="center"/>
          </w:tcPr>
          <w:p>
            <w:pPr>
              <w:widowControl/>
              <w:spacing w:line="320" w:lineRule="exact"/>
              <w:jc w:val="right"/>
              <w:rPr>
                <w:rFonts w:ascii="仿宋_GB2312" w:hAnsi="宋体" w:eastAsia="仿宋_GB2312" w:cs="宋体"/>
                <w:color w:val="000000"/>
                <w:kern w:val="0"/>
                <w:sz w:val="15"/>
                <w:szCs w:val="15"/>
              </w:rPr>
            </w:pPr>
          </w:p>
        </w:tc>
        <w:tc>
          <w:tcPr>
            <w:tcW w:w="3023" w:type="dxa"/>
            <w:tcBorders>
              <w:top w:val="nil"/>
              <w:left w:val="nil"/>
              <w:bottom w:val="single" w:color="auto" w:sz="4" w:space="0"/>
              <w:right w:val="single" w:color="auto" w:sz="4" w:space="0"/>
            </w:tcBorders>
            <w:shd w:val="clear" w:color="auto" w:fill="auto"/>
            <w:noWrap/>
            <w:vAlign w:val="center"/>
          </w:tcPr>
          <w:p>
            <w:pPr>
              <w:widowControl/>
              <w:spacing w:line="320" w:lineRule="exact"/>
              <w:jc w:val="right"/>
              <w:rPr>
                <w:rFonts w:ascii="仿宋_GB2312" w:hAnsi="宋体" w:eastAsia="仿宋_GB2312" w:cs="宋体"/>
                <w:color w:val="000000"/>
                <w:kern w:val="0"/>
                <w:sz w:val="15"/>
                <w:szCs w:val="15"/>
              </w:rPr>
            </w:pPr>
          </w:p>
        </w:tc>
        <w:tc>
          <w:tcPr>
            <w:tcW w:w="900" w:type="dxa"/>
            <w:tcBorders>
              <w:top w:val="nil"/>
              <w:left w:val="nil"/>
              <w:bottom w:val="single" w:color="auto" w:sz="4" w:space="0"/>
              <w:right w:val="single" w:color="auto" w:sz="4" w:space="0"/>
            </w:tcBorders>
            <w:shd w:val="clear" w:color="auto" w:fill="auto"/>
            <w:noWrap/>
            <w:vAlign w:val="center"/>
          </w:tcPr>
          <w:p>
            <w:pPr>
              <w:widowControl/>
              <w:spacing w:line="320" w:lineRule="exact"/>
              <w:jc w:val="right"/>
              <w:rPr>
                <w:rFonts w:ascii="仿宋_GB2312" w:hAnsi="宋体" w:eastAsia="仿宋_GB2312" w:cs="宋体"/>
                <w:color w:val="000000"/>
                <w:kern w:val="0"/>
                <w:sz w:val="15"/>
                <w:szCs w:val="15"/>
              </w:rPr>
            </w:pPr>
          </w:p>
        </w:tc>
        <w:tc>
          <w:tcPr>
            <w:tcW w:w="1138"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p>
        </w:tc>
        <w:tc>
          <w:tcPr>
            <w:tcW w:w="1984"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p>
        </w:tc>
        <w:tc>
          <w:tcPr>
            <w:tcW w:w="900" w:type="dxa"/>
            <w:tcBorders>
              <w:top w:val="nil"/>
              <w:left w:val="nil"/>
              <w:bottom w:val="single" w:color="auto" w:sz="4" w:space="0"/>
              <w:right w:val="single" w:color="auto" w:sz="4" w:space="0"/>
            </w:tcBorders>
            <w:shd w:val="clear" w:color="auto" w:fill="auto"/>
            <w:noWrap/>
            <w:vAlign w:val="center"/>
          </w:tcPr>
          <w:p>
            <w:pPr>
              <w:widowControl/>
              <w:spacing w:line="320" w:lineRule="exact"/>
              <w:jc w:val="right"/>
              <w:rPr>
                <w:rFonts w:ascii="仿宋_GB2312" w:hAnsi="宋体" w:eastAsia="仿宋_GB2312" w:cs="宋体"/>
                <w:color w:val="000000"/>
                <w:kern w:val="0"/>
                <w:sz w:val="15"/>
                <w:szCs w:val="15"/>
              </w:rPr>
            </w:pPr>
          </w:p>
        </w:tc>
        <w:tc>
          <w:tcPr>
            <w:tcW w:w="1010"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39999</w:t>
            </w:r>
          </w:p>
        </w:tc>
        <w:tc>
          <w:tcPr>
            <w:tcW w:w="2551" w:type="dxa"/>
            <w:tcBorders>
              <w:top w:val="nil"/>
              <w:left w:val="nil"/>
              <w:bottom w:val="single" w:color="auto" w:sz="4" w:space="0"/>
              <w:right w:val="single" w:color="auto" w:sz="4" w:space="0"/>
            </w:tcBorders>
            <w:shd w:val="clear" w:color="auto" w:fill="auto"/>
            <w:noWrap/>
            <w:vAlign w:val="center"/>
          </w:tcPr>
          <w:p>
            <w:pPr>
              <w:widowControl/>
              <w:spacing w:line="320" w:lineRule="exac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其他支出</w:t>
            </w:r>
          </w:p>
        </w:tc>
        <w:tc>
          <w:tcPr>
            <w:tcW w:w="881" w:type="dxa"/>
            <w:tcBorders>
              <w:top w:val="nil"/>
              <w:left w:val="nil"/>
              <w:bottom w:val="single" w:color="auto" w:sz="4" w:space="0"/>
              <w:right w:val="single" w:color="auto" w:sz="8" w:space="0"/>
            </w:tcBorders>
            <w:shd w:val="clear" w:color="auto" w:fill="auto"/>
            <w:noWrap/>
            <w:vAlign w:val="center"/>
          </w:tcPr>
          <w:p>
            <w:pPr>
              <w:widowControl/>
              <w:spacing w:line="320" w:lineRule="exact"/>
              <w:jc w:val="center"/>
              <w:rPr>
                <w:rFonts w:ascii="仿宋_GB2312" w:hAnsi="宋体" w:eastAsia="仿宋_GB2312" w:cs="宋体"/>
                <w:color w:val="000000"/>
                <w:kern w:val="0"/>
                <w:sz w:val="15"/>
                <w:szCs w:val="15"/>
              </w:rPr>
            </w:pPr>
          </w:p>
        </w:tc>
      </w:tr>
      <w:tr>
        <w:tblPrEx>
          <w:tblCellMar>
            <w:top w:w="0" w:type="dxa"/>
            <w:left w:w="108" w:type="dxa"/>
            <w:bottom w:w="0" w:type="dxa"/>
            <w:right w:w="108" w:type="dxa"/>
          </w:tblCellMar>
        </w:tblPrEx>
        <w:trPr>
          <w:trHeight w:val="20" w:hRule="atLeast"/>
          <w:jc w:val="center"/>
        </w:trPr>
        <w:tc>
          <w:tcPr>
            <w:tcW w:w="4031" w:type="dxa"/>
            <w:gridSpan w:val="2"/>
            <w:tcBorders>
              <w:top w:val="single" w:color="auto" w:sz="4" w:space="0"/>
              <w:left w:val="single" w:color="auto" w:sz="8" w:space="0"/>
              <w:bottom w:val="single" w:color="auto" w:sz="8"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人员经费合计</w:t>
            </w:r>
          </w:p>
        </w:tc>
        <w:tc>
          <w:tcPr>
            <w:tcW w:w="900" w:type="dxa"/>
            <w:tcBorders>
              <w:top w:val="nil"/>
              <w:left w:val="nil"/>
              <w:bottom w:val="single" w:color="auto" w:sz="8" w:space="0"/>
              <w:right w:val="single" w:color="auto" w:sz="4" w:space="0"/>
            </w:tcBorders>
            <w:shd w:val="clear" w:color="auto" w:fill="auto"/>
            <w:noWrap/>
            <w:vAlign w:val="center"/>
          </w:tcPr>
          <w:p>
            <w:pPr>
              <w:jc w:val="center"/>
              <w:rPr>
                <w:rFonts w:ascii="宋体" w:hAnsi="宋体" w:cs="Arial"/>
                <w:sz w:val="20"/>
                <w:szCs w:val="20"/>
              </w:rPr>
            </w:pPr>
            <w:r>
              <w:rPr>
                <w:rFonts w:hint="eastAsia" w:cs="Arial"/>
                <w:sz w:val="20"/>
                <w:szCs w:val="20"/>
              </w:rPr>
              <w:t>3,765.12</w:t>
            </w:r>
          </w:p>
        </w:tc>
        <w:tc>
          <w:tcPr>
            <w:tcW w:w="7583" w:type="dxa"/>
            <w:gridSpan w:val="5"/>
            <w:tcBorders>
              <w:top w:val="single" w:color="auto" w:sz="4" w:space="0"/>
              <w:left w:val="nil"/>
              <w:bottom w:val="single" w:color="auto" w:sz="8"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color w:val="000000"/>
                <w:kern w:val="0"/>
                <w:sz w:val="20"/>
                <w:szCs w:val="20"/>
              </w:rPr>
            </w:pPr>
            <w:r>
              <w:rPr>
                <w:rFonts w:hint="eastAsia" w:ascii="仿宋_GB2312" w:hAnsi="宋体" w:eastAsia="仿宋_GB2312" w:cs="宋体"/>
                <w:color w:val="000000"/>
                <w:kern w:val="0"/>
                <w:sz w:val="20"/>
                <w:szCs w:val="20"/>
              </w:rPr>
              <w:t>公用经费合计</w:t>
            </w:r>
          </w:p>
        </w:tc>
        <w:tc>
          <w:tcPr>
            <w:tcW w:w="881" w:type="dxa"/>
            <w:tcBorders>
              <w:top w:val="nil"/>
              <w:left w:val="nil"/>
              <w:bottom w:val="single" w:color="auto" w:sz="8" w:space="0"/>
              <w:right w:val="single" w:color="auto" w:sz="8" w:space="0"/>
            </w:tcBorders>
            <w:shd w:val="clear" w:color="auto" w:fill="auto"/>
            <w:noWrap/>
            <w:vAlign w:val="center"/>
          </w:tcPr>
          <w:p>
            <w:pPr>
              <w:jc w:val="center"/>
              <w:rPr>
                <w:rFonts w:ascii="宋体" w:hAnsi="宋体" w:cs="Arial"/>
                <w:sz w:val="20"/>
                <w:szCs w:val="20"/>
              </w:rPr>
            </w:pPr>
            <w:r>
              <w:rPr>
                <w:rFonts w:hint="eastAsia" w:cs="Arial"/>
                <w:sz w:val="20"/>
                <w:szCs w:val="20"/>
              </w:rPr>
              <w:t>2,133.98</w:t>
            </w:r>
          </w:p>
        </w:tc>
      </w:tr>
    </w:tbl>
    <w:p>
      <w:pPr>
        <w:spacing w:line="400" w:lineRule="exact"/>
        <w:ind w:firstLine="108" w:firstLineChars="50"/>
        <w:jc w:val="left"/>
        <w:rPr>
          <w:rFonts w:ascii="仿宋_GB2312" w:hAnsi="宋体" w:eastAsia="仿宋_GB2312"/>
          <w:sz w:val="22"/>
          <w:szCs w:val="22"/>
        </w:rPr>
      </w:pPr>
      <w:r>
        <w:rPr>
          <w:rFonts w:hint="eastAsia" w:ascii="仿宋_GB2312" w:hAnsi="宋体" w:eastAsia="仿宋_GB2312"/>
          <w:sz w:val="22"/>
          <w:szCs w:val="22"/>
        </w:rPr>
        <w:t>注:本表反映部门本年度一般公共预算财政拨款基本支出明细情况。</w:t>
      </w:r>
    </w:p>
    <w:p>
      <w:pPr>
        <w:jc w:val="center"/>
        <w:rPr>
          <w:rFonts w:ascii="方正小标宋简体" w:eastAsia="方正小标宋简体"/>
          <w:sz w:val="44"/>
          <w:szCs w:val="44"/>
        </w:rPr>
      </w:pPr>
      <w:r>
        <w:rPr>
          <w:rFonts w:ascii="方正小标宋简体" w:eastAsia="方正小标宋简体"/>
          <w:sz w:val="44"/>
          <w:szCs w:val="44"/>
        </w:rPr>
        <w:br w:type="page"/>
      </w:r>
      <w:r>
        <w:rPr>
          <w:rFonts w:hint="eastAsia" w:ascii="方正小标宋简体" w:eastAsia="方正小标宋简体"/>
          <w:sz w:val="44"/>
          <w:szCs w:val="44"/>
        </w:rPr>
        <w:t>一般公共预算财政拨款“三公”经费支出决算表</w:t>
      </w:r>
    </w:p>
    <w:p>
      <w:pPr>
        <w:wordWrap w:val="0"/>
        <w:spacing w:line="400" w:lineRule="exact"/>
        <w:jc w:val="right"/>
        <w:rPr>
          <w:rFonts w:ascii="楷体_GB2312" w:eastAsia="楷体_GB2312"/>
          <w:sz w:val="28"/>
          <w:szCs w:val="28"/>
        </w:rPr>
      </w:pPr>
      <w:r>
        <w:rPr>
          <w:rFonts w:hint="eastAsia" w:ascii="方正小标宋简体" w:eastAsia="方正小标宋简体"/>
          <w:sz w:val="44"/>
          <w:szCs w:val="44"/>
        </w:rPr>
        <w:t>　</w:t>
      </w:r>
      <w:r>
        <w:rPr>
          <w:rFonts w:hint="eastAsia" w:ascii="楷体_GB2312" w:eastAsia="楷体_GB2312"/>
          <w:sz w:val="28"/>
          <w:szCs w:val="28"/>
        </w:rPr>
        <w:t xml:space="preserve">   </w:t>
      </w:r>
      <w:r>
        <w:rPr>
          <w:rFonts w:ascii="楷体_GB2312" w:eastAsia="楷体_GB2312"/>
          <w:sz w:val="28"/>
          <w:szCs w:val="28"/>
        </w:rPr>
        <w:t xml:space="preserve">          </w:t>
      </w:r>
      <w:r>
        <w:rPr>
          <w:rFonts w:hint="eastAsia" w:ascii="楷体_GB2312" w:eastAsia="楷体_GB2312"/>
          <w:sz w:val="28"/>
          <w:szCs w:val="28"/>
        </w:rPr>
        <w:t>公开07表</w:t>
      </w:r>
    </w:p>
    <w:p>
      <w:pPr>
        <w:spacing w:line="400" w:lineRule="exact"/>
        <w:ind w:firstLine="138" w:firstLineChars="50"/>
        <w:jc w:val="right"/>
        <w:rPr>
          <w:rFonts w:ascii="楷体_GB2312" w:eastAsia="楷体_GB2312"/>
          <w:sz w:val="28"/>
          <w:szCs w:val="28"/>
        </w:rPr>
      </w:pPr>
      <w:r>
        <w:rPr>
          <w:rFonts w:hint="eastAsia" w:ascii="楷体_GB2312" w:eastAsia="楷体_GB2312"/>
          <w:sz w:val="28"/>
          <w:szCs w:val="28"/>
        </w:rPr>
        <w:t xml:space="preserve">部门：中共青岛市委党校                                          </w:t>
      </w:r>
      <w:r>
        <w:rPr>
          <w:rFonts w:ascii="楷体_GB2312" w:eastAsia="楷体_GB2312"/>
          <w:sz w:val="28"/>
          <w:szCs w:val="28"/>
        </w:rPr>
        <w:t xml:space="preserve"> </w:t>
      </w:r>
      <w:r>
        <w:rPr>
          <w:rFonts w:hint="eastAsia" w:ascii="楷体_GB2312" w:eastAsia="楷体_GB2312"/>
          <w:sz w:val="28"/>
          <w:szCs w:val="28"/>
        </w:rPr>
        <w:t xml:space="preserve">                     单位：万元</w:t>
      </w:r>
    </w:p>
    <w:tbl>
      <w:tblPr>
        <w:tblStyle w:val="5"/>
        <w:tblW w:w="4855" w:type="pct"/>
        <w:jc w:val="center"/>
        <w:tblLayout w:type="fixed"/>
        <w:tblCellMar>
          <w:top w:w="0" w:type="dxa"/>
          <w:left w:w="108" w:type="dxa"/>
          <w:bottom w:w="0" w:type="dxa"/>
          <w:right w:w="108" w:type="dxa"/>
        </w:tblCellMar>
      </w:tblPr>
      <w:tblGrid>
        <w:gridCol w:w="1179"/>
        <w:gridCol w:w="1195"/>
        <w:gridCol w:w="1180"/>
        <w:gridCol w:w="1180"/>
        <w:gridCol w:w="1188"/>
        <w:gridCol w:w="962"/>
        <w:gridCol w:w="1098"/>
        <w:gridCol w:w="1143"/>
        <w:gridCol w:w="851"/>
        <w:gridCol w:w="1132"/>
        <w:gridCol w:w="1164"/>
        <w:gridCol w:w="984"/>
      </w:tblGrid>
      <w:tr>
        <w:tblPrEx>
          <w:tblCellMar>
            <w:top w:w="0" w:type="dxa"/>
            <w:left w:w="108" w:type="dxa"/>
            <w:bottom w:w="0" w:type="dxa"/>
            <w:right w:w="108" w:type="dxa"/>
          </w:tblCellMar>
        </w:tblPrEx>
        <w:trPr>
          <w:trHeight w:val="862" w:hRule="atLeast"/>
          <w:jc w:val="center"/>
        </w:trPr>
        <w:tc>
          <w:tcPr>
            <w:tcW w:w="2596" w:type="pct"/>
            <w:gridSpan w:val="6"/>
            <w:tcBorders>
              <w:top w:val="single" w:color="auto" w:sz="8" w:space="0"/>
              <w:left w:val="single" w:color="auto" w:sz="8" w:space="0"/>
              <w:bottom w:val="single" w:color="auto" w:sz="4" w:space="0"/>
              <w:right w:val="single" w:color="000000" w:sz="8"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预 算 数</w:t>
            </w:r>
          </w:p>
        </w:tc>
        <w:tc>
          <w:tcPr>
            <w:tcW w:w="2404" w:type="pct"/>
            <w:gridSpan w:val="6"/>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决 算 数　</w:t>
            </w:r>
          </w:p>
        </w:tc>
      </w:tr>
      <w:tr>
        <w:tblPrEx>
          <w:tblCellMar>
            <w:top w:w="0" w:type="dxa"/>
            <w:left w:w="108" w:type="dxa"/>
            <w:bottom w:w="0" w:type="dxa"/>
            <w:right w:w="108" w:type="dxa"/>
          </w:tblCellMar>
        </w:tblPrEx>
        <w:trPr>
          <w:trHeight w:val="862" w:hRule="atLeast"/>
          <w:jc w:val="center"/>
        </w:trPr>
        <w:tc>
          <w:tcPr>
            <w:tcW w:w="445" w:type="pct"/>
            <w:vMerge w:val="restart"/>
            <w:tcBorders>
              <w:top w:val="nil"/>
              <w:left w:val="single" w:color="auto" w:sz="8"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451"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因公出国（境）费</w:t>
            </w:r>
          </w:p>
        </w:tc>
        <w:tc>
          <w:tcPr>
            <w:tcW w:w="1338"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公务用车购置及运行费</w:t>
            </w:r>
          </w:p>
        </w:tc>
        <w:tc>
          <w:tcPr>
            <w:tcW w:w="363" w:type="pct"/>
            <w:vMerge w:val="restart"/>
            <w:tcBorders>
              <w:top w:val="nil"/>
              <w:left w:val="single" w:color="auto" w:sz="4" w:space="0"/>
              <w:bottom w:val="single" w:color="auto" w:sz="4" w:space="0"/>
              <w:right w:val="single" w:color="000000" w:sz="8"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公务</w:t>
            </w:r>
          </w:p>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接待费</w:t>
            </w:r>
          </w:p>
        </w:tc>
        <w:tc>
          <w:tcPr>
            <w:tcW w:w="414"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431" w:type="pct"/>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因公出国（境）费</w:t>
            </w:r>
          </w:p>
        </w:tc>
        <w:tc>
          <w:tcPr>
            <w:tcW w:w="1187"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公务用车购置及运行费</w:t>
            </w:r>
          </w:p>
        </w:tc>
        <w:tc>
          <w:tcPr>
            <w:tcW w:w="37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公务</w:t>
            </w:r>
          </w:p>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接待费</w:t>
            </w:r>
          </w:p>
        </w:tc>
      </w:tr>
      <w:tr>
        <w:tblPrEx>
          <w:tblCellMar>
            <w:top w:w="0" w:type="dxa"/>
            <w:left w:w="108" w:type="dxa"/>
            <w:bottom w:w="0" w:type="dxa"/>
            <w:right w:w="108" w:type="dxa"/>
          </w:tblCellMar>
        </w:tblPrEx>
        <w:trPr>
          <w:trHeight w:val="862" w:hRule="atLeast"/>
          <w:jc w:val="center"/>
        </w:trPr>
        <w:tc>
          <w:tcPr>
            <w:tcW w:w="445" w:type="pct"/>
            <w:vMerge w:val="continue"/>
            <w:tcBorders>
              <w:top w:val="nil"/>
              <w:left w:val="single" w:color="auto" w:sz="8"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p>
        </w:tc>
        <w:tc>
          <w:tcPr>
            <w:tcW w:w="451"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p>
        </w:tc>
        <w:tc>
          <w:tcPr>
            <w:tcW w:w="445" w:type="pct"/>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小计</w:t>
            </w:r>
          </w:p>
        </w:tc>
        <w:tc>
          <w:tcPr>
            <w:tcW w:w="445" w:type="pct"/>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公务用车购置费</w:t>
            </w:r>
          </w:p>
        </w:tc>
        <w:tc>
          <w:tcPr>
            <w:tcW w:w="448" w:type="pct"/>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公务用车运行费</w:t>
            </w:r>
          </w:p>
        </w:tc>
        <w:tc>
          <w:tcPr>
            <w:tcW w:w="363" w:type="pct"/>
            <w:vMerge w:val="continue"/>
            <w:tcBorders>
              <w:top w:val="nil"/>
              <w:left w:val="single" w:color="auto" w:sz="4" w:space="0"/>
              <w:bottom w:val="single" w:color="auto" w:sz="4" w:space="0"/>
              <w:right w:val="single" w:color="000000" w:sz="8" w:space="0"/>
            </w:tcBorders>
            <w:shd w:val="clear" w:color="auto" w:fill="auto"/>
            <w:vAlign w:val="center"/>
          </w:tcPr>
          <w:p>
            <w:pPr>
              <w:widowControl/>
              <w:spacing w:line="300" w:lineRule="exact"/>
              <w:jc w:val="left"/>
              <w:rPr>
                <w:rFonts w:ascii="仿宋_GB2312" w:hAnsi="宋体" w:eastAsia="仿宋_GB2312" w:cs="宋体"/>
                <w:kern w:val="0"/>
                <w:sz w:val="22"/>
                <w:szCs w:val="22"/>
              </w:rPr>
            </w:pPr>
          </w:p>
        </w:tc>
        <w:tc>
          <w:tcPr>
            <w:tcW w:w="414"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left"/>
              <w:rPr>
                <w:rFonts w:ascii="仿宋_GB2312" w:hAnsi="宋体" w:eastAsia="仿宋_GB2312" w:cs="宋体"/>
                <w:kern w:val="0"/>
                <w:sz w:val="22"/>
                <w:szCs w:val="22"/>
              </w:rPr>
            </w:pPr>
          </w:p>
        </w:tc>
        <w:tc>
          <w:tcPr>
            <w:tcW w:w="431" w:type="pct"/>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300" w:lineRule="exact"/>
              <w:jc w:val="left"/>
              <w:rPr>
                <w:rFonts w:ascii="仿宋_GB2312" w:hAnsi="宋体" w:eastAsia="仿宋_GB2312" w:cs="宋体"/>
                <w:kern w:val="0"/>
                <w:sz w:val="22"/>
                <w:szCs w:val="22"/>
              </w:rPr>
            </w:pPr>
          </w:p>
        </w:tc>
        <w:tc>
          <w:tcPr>
            <w:tcW w:w="321"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小计</w:t>
            </w: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公务用车购置费</w:t>
            </w:r>
          </w:p>
        </w:tc>
        <w:tc>
          <w:tcPr>
            <w:tcW w:w="439"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公务用车运行费</w:t>
            </w:r>
          </w:p>
        </w:tc>
        <w:tc>
          <w:tcPr>
            <w:tcW w:w="37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00" w:lineRule="exact"/>
              <w:jc w:val="left"/>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623" w:hRule="atLeast"/>
          <w:jc w:val="center"/>
        </w:trPr>
        <w:tc>
          <w:tcPr>
            <w:tcW w:w="445" w:type="pct"/>
            <w:tcBorders>
              <w:top w:val="nil"/>
              <w:left w:val="single" w:color="auto" w:sz="8" w:space="0"/>
              <w:bottom w:val="single" w:color="auto" w:sz="8"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w:t>
            </w:r>
          </w:p>
        </w:tc>
        <w:tc>
          <w:tcPr>
            <w:tcW w:w="451" w:type="pct"/>
            <w:tcBorders>
              <w:top w:val="nil"/>
              <w:left w:val="nil"/>
              <w:bottom w:val="single" w:color="auto" w:sz="8"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w:t>
            </w:r>
          </w:p>
        </w:tc>
        <w:tc>
          <w:tcPr>
            <w:tcW w:w="445" w:type="pct"/>
            <w:tcBorders>
              <w:top w:val="nil"/>
              <w:left w:val="nil"/>
              <w:bottom w:val="single" w:color="auto" w:sz="8"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3</w:t>
            </w:r>
          </w:p>
        </w:tc>
        <w:tc>
          <w:tcPr>
            <w:tcW w:w="445" w:type="pct"/>
            <w:tcBorders>
              <w:top w:val="nil"/>
              <w:left w:val="nil"/>
              <w:bottom w:val="single" w:color="auto" w:sz="8"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4</w:t>
            </w:r>
          </w:p>
        </w:tc>
        <w:tc>
          <w:tcPr>
            <w:tcW w:w="448" w:type="pct"/>
            <w:tcBorders>
              <w:top w:val="nil"/>
              <w:left w:val="nil"/>
              <w:bottom w:val="single" w:color="auto" w:sz="8"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5</w:t>
            </w:r>
          </w:p>
        </w:tc>
        <w:tc>
          <w:tcPr>
            <w:tcW w:w="363" w:type="pct"/>
            <w:tcBorders>
              <w:top w:val="nil"/>
              <w:left w:val="nil"/>
              <w:bottom w:val="single" w:color="auto" w:sz="8" w:space="0"/>
              <w:right w:val="single" w:color="000000" w:sz="8"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6</w:t>
            </w:r>
          </w:p>
        </w:tc>
        <w:tc>
          <w:tcPr>
            <w:tcW w:w="41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7</w:t>
            </w:r>
          </w:p>
        </w:tc>
        <w:tc>
          <w:tcPr>
            <w:tcW w:w="431"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8</w:t>
            </w:r>
          </w:p>
        </w:tc>
        <w:tc>
          <w:tcPr>
            <w:tcW w:w="321"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9</w:t>
            </w: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10</w:t>
            </w:r>
          </w:p>
        </w:tc>
        <w:tc>
          <w:tcPr>
            <w:tcW w:w="439"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11</w:t>
            </w:r>
          </w:p>
        </w:tc>
        <w:tc>
          <w:tcPr>
            <w:tcW w:w="371"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12</w:t>
            </w:r>
          </w:p>
        </w:tc>
      </w:tr>
      <w:tr>
        <w:tblPrEx>
          <w:tblCellMar>
            <w:top w:w="0" w:type="dxa"/>
            <w:left w:w="108" w:type="dxa"/>
            <w:bottom w:w="0" w:type="dxa"/>
            <w:right w:w="108" w:type="dxa"/>
          </w:tblCellMar>
        </w:tblPrEx>
        <w:trPr>
          <w:trHeight w:val="1296" w:hRule="atLeast"/>
          <w:jc w:val="center"/>
        </w:trPr>
        <w:tc>
          <w:tcPr>
            <w:tcW w:w="445" w:type="pct"/>
            <w:tcBorders>
              <w:top w:val="nil"/>
              <w:left w:val="single" w:color="auto" w:sz="8" w:space="0"/>
              <w:bottom w:val="single" w:color="auto" w:sz="8"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142.28</w:t>
            </w:r>
          </w:p>
        </w:tc>
        <w:tc>
          <w:tcPr>
            <w:tcW w:w="451" w:type="pct"/>
            <w:tcBorders>
              <w:top w:val="nil"/>
              <w:left w:val="nil"/>
              <w:bottom w:val="single" w:color="auto" w:sz="8"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113.59　</w:t>
            </w:r>
          </w:p>
        </w:tc>
        <w:tc>
          <w:tcPr>
            <w:tcW w:w="445" w:type="pct"/>
            <w:tcBorders>
              <w:top w:val="nil"/>
              <w:left w:val="nil"/>
              <w:bottom w:val="single" w:color="auto" w:sz="8"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14.44　</w:t>
            </w:r>
          </w:p>
        </w:tc>
        <w:tc>
          <w:tcPr>
            <w:tcW w:w="445" w:type="pct"/>
            <w:tcBorders>
              <w:top w:val="nil"/>
              <w:left w:val="nil"/>
              <w:bottom w:val="single" w:color="auto" w:sz="8"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448" w:type="pct"/>
            <w:tcBorders>
              <w:top w:val="nil"/>
              <w:left w:val="nil"/>
              <w:bottom w:val="single" w:color="auto" w:sz="8"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14.44　</w:t>
            </w:r>
          </w:p>
        </w:tc>
        <w:tc>
          <w:tcPr>
            <w:tcW w:w="363" w:type="pct"/>
            <w:tcBorders>
              <w:top w:val="nil"/>
              <w:left w:val="nil"/>
              <w:bottom w:val="single" w:color="auto" w:sz="8" w:space="0"/>
              <w:right w:val="single" w:color="000000" w:sz="8" w:space="0"/>
            </w:tcBorders>
            <w:shd w:val="clear" w:color="auto" w:fill="auto"/>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14.25　</w:t>
            </w:r>
          </w:p>
        </w:tc>
        <w:tc>
          <w:tcPr>
            <w:tcW w:w="41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12.32</w:t>
            </w:r>
          </w:p>
        </w:tc>
        <w:tc>
          <w:tcPr>
            <w:tcW w:w="431"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9.01</w:t>
            </w:r>
          </w:p>
        </w:tc>
        <w:tc>
          <w:tcPr>
            <w:tcW w:w="321"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2.9　</w:t>
            </w: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439"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2.9　</w:t>
            </w:r>
          </w:p>
        </w:tc>
        <w:tc>
          <w:tcPr>
            <w:tcW w:w="371"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0.41　</w:t>
            </w:r>
          </w:p>
        </w:tc>
      </w:tr>
    </w:tbl>
    <w:p>
      <w:pPr>
        <w:spacing w:line="360" w:lineRule="exact"/>
        <w:ind w:firstLine="108" w:firstLineChars="50"/>
        <w:rPr>
          <w:rFonts w:ascii="仿宋_GB2312" w:hAnsi="宋体" w:eastAsia="仿宋_GB2312"/>
          <w:sz w:val="22"/>
          <w:szCs w:val="22"/>
        </w:rPr>
      </w:pPr>
      <w:r>
        <w:rPr>
          <w:rFonts w:hint="eastAsia" w:ascii="仿宋_GB2312" w:hAnsi="宋体" w:eastAsia="仿宋_GB2312"/>
          <w:sz w:val="22"/>
          <w:szCs w:val="22"/>
        </w:rPr>
        <w:t>注：本表反映部门本年度“三公”经费支出预决算情况。其中：预算数为“三公”经费年初预算数，决算数包括当年一般公共预算财政拨款</w:t>
      </w:r>
    </w:p>
    <w:p>
      <w:pPr>
        <w:spacing w:line="360" w:lineRule="exact"/>
        <w:ind w:firstLine="540" w:firstLineChars="250"/>
        <w:rPr>
          <w:rFonts w:ascii="仿宋_GB2312" w:hAnsi="宋体" w:eastAsia="仿宋_GB2312"/>
          <w:sz w:val="22"/>
          <w:szCs w:val="22"/>
        </w:rPr>
      </w:pPr>
      <w:r>
        <w:rPr>
          <w:rFonts w:hint="eastAsia" w:ascii="仿宋_GB2312" w:hAnsi="宋体" w:eastAsia="仿宋_GB2312"/>
          <w:sz w:val="22"/>
          <w:szCs w:val="22"/>
        </w:rPr>
        <w:t>和以前年度结转资金安排的实际支出。</w:t>
      </w:r>
    </w:p>
    <w:p>
      <w:pPr>
        <w:ind w:firstLine="108" w:firstLineChars="50"/>
        <w:rPr>
          <w:rFonts w:ascii="仿宋_GB2312" w:hAnsi="宋体" w:eastAsia="仿宋_GB2312"/>
          <w:sz w:val="22"/>
          <w:szCs w:val="22"/>
        </w:rPr>
      </w:pPr>
    </w:p>
    <w:p>
      <w:pPr>
        <w:ind w:firstLine="108" w:firstLineChars="50"/>
        <w:rPr>
          <w:rFonts w:ascii="仿宋_GB2312" w:hAnsi="宋体" w:eastAsia="仿宋_GB2312"/>
          <w:sz w:val="22"/>
          <w:szCs w:val="22"/>
        </w:rPr>
      </w:pPr>
    </w:p>
    <w:p>
      <w:pPr>
        <w:jc w:val="center"/>
        <w:rPr>
          <w:rFonts w:ascii="方正小标宋简体" w:eastAsia="方正小标宋简体"/>
          <w:sz w:val="44"/>
          <w:szCs w:val="44"/>
        </w:rPr>
      </w:pPr>
      <w:r>
        <w:rPr>
          <w:rFonts w:hint="eastAsia" w:ascii="方正小标宋简体" w:eastAsia="方正小标宋简体"/>
          <w:sz w:val="44"/>
          <w:szCs w:val="44"/>
        </w:rPr>
        <w:t>政府性基金预算财政拨款收入支出决算表</w:t>
      </w:r>
    </w:p>
    <w:p>
      <w:pPr>
        <w:spacing w:line="400" w:lineRule="exact"/>
        <w:jc w:val="right"/>
        <w:rPr>
          <w:rFonts w:ascii="楷体_GB2312" w:eastAsia="楷体_GB2312"/>
          <w:sz w:val="28"/>
          <w:szCs w:val="28"/>
        </w:rPr>
      </w:pPr>
      <w:r>
        <w:rPr>
          <w:rFonts w:hint="eastAsia" w:ascii="楷体_GB2312" w:eastAsia="楷体_GB2312"/>
          <w:sz w:val="28"/>
          <w:szCs w:val="28"/>
        </w:rPr>
        <w:t>公开08表</w:t>
      </w:r>
    </w:p>
    <w:p>
      <w:pPr>
        <w:spacing w:line="400" w:lineRule="exact"/>
        <w:ind w:firstLine="138" w:firstLineChars="50"/>
        <w:jc w:val="right"/>
        <w:rPr>
          <w:rFonts w:ascii="楷体_GB2312" w:eastAsia="楷体_GB2312"/>
          <w:sz w:val="28"/>
          <w:szCs w:val="28"/>
        </w:rPr>
      </w:pPr>
      <w:r>
        <w:rPr>
          <w:rFonts w:hint="eastAsia" w:ascii="楷体_GB2312" w:eastAsia="楷体_GB2312"/>
          <w:sz w:val="28"/>
          <w:szCs w:val="28"/>
        </w:rPr>
        <w:t xml:space="preserve">部门：中共青岛市委党校                                                              </w:t>
      </w:r>
      <w:r>
        <w:rPr>
          <w:rFonts w:ascii="楷体_GB2312" w:eastAsia="楷体_GB2312"/>
          <w:sz w:val="28"/>
          <w:szCs w:val="28"/>
        </w:rPr>
        <w:t xml:space="preserve"> </w:t>
      </w:r>
      <w:r>
        <w:rPr>
          <w:rFonts w:hint="eastAsia" w:ascii="楷体_GB2312" w:eastAsia="楷体_GB2312"/>
          <w:sz w:val="28"/>
          <w:szCs w:val="28"/>
        </w:rPr>
        <w:t xml:space="preserve"> 单位：万元</w:t>
      </w:r>
    </w:p>
    <w:tbl>
      <w:tblPr>
        <w:tblStyle w:val="5"/>
        <w:tblpPr w:leftFromText="180" w:rightFromText="180" w:vertAnchor="text" w:tblpXSpec="center" w:tblpY="1"/>
        <w:tblOverlap w:val="never"/>
        <w:tblW w:w="13210" w:type="dxa"/>
        <w:tblInd w:w="0" w:type="dxa"/>
        <w:tblLayout w:type="fixed"/>
        <w:tblCellMar>
          <w:top w:w="0" w:type="dxa"/>
          <w:left w:w="108" w:type="dxa"/>
          <w:bottom w:w="0" w:type="dxa"/>
          <w:right w:w="108" w:type="dxa"/>
        </w:tblCellMar>
      </w:tblPr>
      <w:tblGrid>
        <w:gridCol w:w="1372"/>
        <w:gridCol w:w="56"/>
        <w:gridCol w:w="1429"/>
        <w:gridCol w:w="1731"/>
        <w:gridCol w:w="1707"/>
        <w:gridCol w:w="1708"/>
        <w:gridCol w:w="1708"/>
        <w:gridCol w:w="1708"/>
        <w:gridCol w:w="1791"/>
      </w:tblGrid>
      <w:tr>
        <w:tblPrEx>
          <w:tblCellMar>
            <w:top w:w="0" w:type="dxa"/>
            <w:left w:w="108" w:type="dxa"/>
            <w:bottom w:w="0" w:type="dxa"/>
            <w:right w:w="108" w:type="dxa"/>
          </w:tblCellMar>
        </w:tblPrEx>
        <w:trPr>
          <w:trHeight w:val="453" w:hRule="atLeast"/>
        </w:trPr>
        <w:tc>
          <w:tcPr>
            <w:tcW w:w="285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项       目</w:t>
            </w:r>
          </w:p>
        </w:tc>
        <w:tc>
          <w:tcPr>
            <w:tcW w:w="1731" w:type="dxa"/>
            <w:vMerge w:val="restart"/>
            <w:tcBorders>
              <w:top w:val="single" w:color="auto" w:sz="4" w:space="0"/>
              <w:left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年初结转和结余</w:t>
            </w:r>
          </w:p>
        </w:tc>
        <w:tc>
          <w:tcPr>
            <w:tcW w:w="1707" w:type="dxa"/>
            <w:vMerge w:val="restart"/>
            <w:tcBorders>
              <w:top w:val="single" w:color="auto" w:sz="4" w:space="0"/>
              <w:left w:val="nil"/>
              <w:right w:val="single" w:color="auto" w:sz="4" w:space="0"/>
            </w:tcBorders>
            <w:shd w:val="clear" w:color="auto" w:fill="auto"/>
            <w:noWrap/>
            <w:vAlign w:val="center"/>
          </w:tcPr>
          <w:p>
            <w:pPr>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本年收入</w:t>
            </w:r>
          </w:p>
        </w:tc>
        <w:tc>
          <w:tcPr>
            <w:tcW w:w="5124" w:type="dxa"/>
            <w:gridSpan w:val="3"/>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本年支出</w:t>
            </w:r>
          </w:p>
        </w:tc>
        <w:tc>
          <w:tcPr>
            <w:tcW w:w="1791" w:type="dxa"/>
            <w:vMerge w:val="restart"/>
            <w:tcBorders>
              <w:top w:val="single" w:color="auto" w:sz="4" w:space="0"/>
              <w:left w:val="nil"/>
              <w:right w:val="single" w:color="auto" w:sz="4" w:space="0"/>
            </w:tcBorders>
            <w:shd w:val="clear" w:color="auto" w:fill="auto"/>
            <w:vAlign w:val="center"/>
          </w:tcPr>
          <w:p>
            <w:pPr>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年末结转和结余</w:t>
            </w:r>
          </w:p>
        </w:tc>
      </w:tr>
      <w:tr>
        <w:tblPrEx>
          <w:tblCellMar>
            <w:top w:w="0" w:type="dxa"/>
            <w:left w:w="108" w:type="dxa"/>
            <w:bottom w:w="0" w:type="dxa"/>
            <w:right w:w="108" w:type="dxa"/>
          </w:tblCellMar>
        </w:tblPrEx>
        <w:trPr>
          <w:trHeight w:val="599" w:hRule="atLeast"/>
        </w:trPr>
        <w:tc>
          <w:tcPr>
            <w:tcW w:w="1428"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功能分类  科目编码</w:t>
            </w:r>
          </w:p>
        </w:tc>
        <w:tc>
          <w:tcPr>
            <w:tcW w:w="142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科目名称</w:t>
            </w:r>
          </w:p>
        </w:tc>
        <w:tc>
          <w:tcPr>
            <w:tcW w:w="1731" w:type="dxa"/>
            <w:vMerge w:val="continue"/>
            <w:tcBorders>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p>
        </w:tc>
        <w:tc>
          <w:tcPr>
            <w:tcW w:w="1707" w:type="dxa"/>
            <w:vMerge w:val="continue"/>
            <w:tcBorders>
              <w:left w:val="nil"/>
              <w:bottom w:val="single" w:color="auto" w:sz="4" w:space="0"/>
              <w:right w:val="single" w:color="auto" w:sz="4" w:space="0"/>
            </w:tcBorders>
            <w:shd w:val="clear" w:color="auto" w:fill="auto"/>
            <w:noWrap/>
            <w:vAlign w:val="center"/>
          </w:tcPr>
          <w:p>
            <w:pPr>
              <w:spacing w:line="300" w:lineRule="exact"/>
              <w:jc w:val="center"/>
              <w:rPr>
                <w:rFonts w:ascii="仿宋_GB2312" w:hAnsi="宋体" w:eastAsia="仿宋_GB2312" w:cs="宋体"/>
                <w:kern w:val="0"/>
                <w:sz w:val="22"/>
                <w:szCs w:val="22"/>
              </w:rPr>
            </w:pPr>
          </w:p>
        </w:tc>
        <w:tc>
          <w:tcPr>
            <w:tcW w:w="1708"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小计</w:t>
            </w:r>
          </w:p>
        </w:tc>
        <w:tc>
          <w:tcPr>
            <w:tcW w:w="1708"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基本支出</w:t>
            </w:r>
          </w:p>
        </w:tc>
        <w:tc>
          <w:tcPr>
            <w:tcW w:w="1708" w:type="dxa"/>
            <w:tcBorders>
              <w:top w:val="single" w:color="auto" w:sz="4" w:space="0"/>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项目支出</w:t>
            </w:r>
          </w:p>
        </w:tc>
        <w:tc>
          <w:tcPr>
            <w:tcW w:w="1791" w:type="dxa"/>
            <w:vMerge w:val="continue"/>
            <w:tcBorders>
              <w:left w:val="nil"/>
              <w:bottom w:val="single" w:color="auto" w:sz="4" w:space="0"/>
              <w:right w:val="single" w:color="auto" w:sz="4" w:space="0"/>
            </w:tcBorders>
            <w:shd w:val="clear" w:color="auto" w:fill="auto"/>
            <w:vAlign w:val="center"/>
          </w:tcPr>
          <w:p>
            <w:pPr>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454" w:hRule="atLeast"/>
        </w:trPr>
        <w:tc>
          <w:tcPr>
            <w:tcW w:w="285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栏  次</w:t>
            </w:r>
          </w:p>
        </w:tc>
        <w:tc>
          <w:tcPr>
            <w:tcW w:w="173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1</w:t>
            </w:r>
          </w:p>
        </w:tc>
        <w:tc>
          <w:tcPr>
            <w:tcW w:w="1707"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2</w:t>
            </w: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3</w:t>
            </w:r>
          </w:p>
        </w:tc>
        <w:tc>
          <w:tcPr>
            <w:tcW w:w="170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4</w:t>
            </w:r>
          </w:p>
        </w:tc>
        <w:tc>
          <w:tcPr>
            <w:tcW w:w="170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5</w:t>
            </w:r>
          </w:p>
        </w:tc>
        <w:tc>
          <w:tcPr>
            <w:tcW w:w="179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6</w:t>
            </w:r>
          </w:p>
        </w:tc>
      </w:tr>
      <w:tr>
        <w:tblPrEx>
          <w:tblCellMar>
            <w:top w:w="0" w:type="dxa"/>
            <w:left w:w="108" w:type="dxa"/>
            <w:bottom w:w="0" w:type="dxa"/>
            <w:right w:w="108" w:type="dxa"/>
          </w:tblCellMar>
        </w:tblPrEx>
        <w:trPr>
          <w:trHeight w:val="454" w:hRule="atLeast"/>
        </w:trPr>
        <w:tc>
          <w:tcPr>
            <w:tcW w:w="285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合  计</w:t>
            </w:r>
          </w:p>
        </w:tc>
        <w:tc>
          <w:tcPr>
            <w:tcW w:w="173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p>
        </w:tc>
        <w:tc>
          <w:tcPr>
            <w:tcW w:w="1707"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kern w:val="0"/>
                <w:sz w:val="22"/>
                <w:szCs w:val="22"/>
              </w:rPr>
            </w:pPr>
          </w:p>
        </w:tc>
        <w:tc>
          <w:tcPr>
            <w:tcW w:w="1791"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kern w:val="0"/>
                <w:sz w:val="22"/>
                <w:szCs w:val="22"/>
              </w:rPr>
            </w:pP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485"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31"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p>
        </w:tc>
        <w:tc>
          <w:tcPr>
            <w:tcW w:w="1707"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shd w:val="clear" w:color="auto" w:fill="auto"/>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p>
        </w:tc>
        <w:tc>
          <w:tcPr>
            <w:tcW w:w="1791" w:type="dxa"/>
            <w:tcBorders>
              <w:top w:val="nil"/>
              <w:left w:val="nil"/>
              <w:bottom w:val="single" w:color="auto" w:sz="4" w:space="0"/>
              <w:right w:val="single" w:color="auto" w:sz="4" w:space="0"/>
            </w:tcBorders>
            <w:shd w:val="clear" w:color="auto" w:fill="auto"/>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485"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31"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p>
        </w:tc>
        <w:tc>
          <w:tcPr>
            <w:tcW w:w="1707"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shd w:val="clear" w:color="auto" w:fill="auto"/>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p>
        </w:tc>
        <w:tc>
          <w:tcPr>
            <w:tcW w:w="1791" w:type="dxa"/>
            <w:tcBorders>
              <w:top w:val="nil"/>
              <w:left w:val="nil"/>
              <w:bottom w:val="single" w:color="auto" w:sz="4" w:space="0"/>
              <w:right w:val="single" w:color="auto" w:sz="4" w:space="0"/>
            </w:tcBorders>
            <w:shd w:val="clear" w:color="auto" w:fill="auto"/>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485"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31"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p>
        </w:tc>
        <w:tc>
          <w:tcPr>
            <w:tcW w:w="1707"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shd w:val="clear" w:color="auto" w:fill="auto"/>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p>
        </w:tc>
        <w:tc>
          <w:tcPr>
            <w:tcW w:w="1791" w:type="dxa"/>
            <w:tcBorders>
              <w:top w:val="nil"/>
              <w:left w:val="nil"/>
              <w:bottom w:val="single" w:color="auto" w:sz="4" w:space="0"/>
              <w:right w:val="single" w:color="auto" w:sz="4" w:space="0"/>
            </w:tcBorders>
            <w:shd w:val="clear" w:color="auto" w:fill="auto"/>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485"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31"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p>
        </w:tc>
        <w:tc>
          <w:tcPr>
            <w:tcW w:w="1707"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shd w:val="clear" w:color="auto" w:fill="auto"/>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p>
        </w:tc>
        <w:tc>
          <w:tcPr>
            <w:tcW w:w="1791" w:type="dxa"/>
            <w:tcBorders>
              <w:top w:val="nil"/>
              <w:left w:val="nil"/>
              <w:bottom w:val="single" w:color="auto" w:sz="4" w:space="0"/>
              <w:right w:val="single" w:color="auto" w:sz="4" w:space="0"/>
            </w:tcBorders>
            <w:shd w:val="clear" w:color="auto" w:fill="auto"/>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485"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31"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p>
        </w:tc>
        <w:tc>
          <w:tcPr>
            <w:tcW w:w="1707"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shd w:val="clear" w:color="auto" w:fill="auto"/>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p>
        </w:tc>
        <w:tc>
          <w:tcPr>
            <w:tcW w:w="1791" w:type="dxa"/>
            <w:tcBorders>
              <w:top w:val="nil"/>
              <w:left w:val="nil"/>
              <w:bottom w:val="single" w:color="auto" w:sz="4" w:space="0"/>
              <w:right w:val="single" w:color="auto" w:sz="4" w:space="0"/>
            </w:tcBorders>
            <w:shd w:val="clear" w:color="auto" w:fill="auto"/>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r>
        <w:tblPrEx>
          <w:tblCellMar>
            <w:top w:w="0" w:type="dxa"/>
            <w:left w:w="108" w:type="dxa"/>
            <w:bottom w:w="0" w:type="dxa"/>
            <w:right w:w="108" w:type="dxa"/>
          </w:tblCellMar>
        </w:tblPrEx>
        <w:trPr>
          <w:trHeight w:val="454" w:hRule="atLeast"/>
        </w:trPr>
        <w:tc>
          <w:tcPr>
            <w:tcW w:w="1372"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485" w:type="dxa"/>
            <w:gridSpan w:val="2"/>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31"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ascii="仿宋_GB2312" w:hAnsi="宋体" w:eastAsia="仿宋_GB2312" w:cs="宋体"/>
                <w:kern w:val="0"/>
                <w:sz w:val="22"/>
                <w:szCs w:val="22"/>
              </w:rPr>
            </w:pPr>
          </w:p>
        </w:tc>
        <w:tc>
          <w:tcPr>
            <w:tcW w:w="1707"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p>
        </w:tc>
        <w:tc>
          <w:tcPr>
            <w:tcW w:w="1708" w:type="dxa"/>
            <w:tcBorders>
              <w:top w:val="nil"/>
              <w:left w:val="nil"/>
              <w:bottom w:val="single" w:color="auto" w:sz="4" w:space="0"/>
              <w:right w:val="single" w:color="auto" w:sz="4" w:space="0"/>
            </w:tcBorders>
            <w:shd w:val="clear" w:color="auto" w:fill="auto"/>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c>
          <w:tcPr>
            <w:tcW w:w="170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kern w:val="0"/>
                <w:sz w:val="22"/>
                <w:szCs w:val="22"/>
              </w:rPr>
            </w:pPr>
          </w:p>
        </w:tc>
        <w:tc>
          <w:tcPr>
            <w:tcW w:w="1791" w:type="dxa"/>
            <w:tcBorders>
              <w:top w:val="nil"/>
              <w:left w:val="nil"/>
              <w:bottom w:val="single" w:color="auto" w:sz="4" w:space="0"/>
              <w:right w:val="single" w:color="auto" w:sz="4" w:space="0"/>
            </w:tcBorders>
            <w:shd w:val="clear" w:color="auto" w:fill="auto"/>
            <w:vAlign w:val="center"/>
          </w:tcPr>
          <w:p>
            <w:pPr>
              <w:spacing w:line="300" w:lineRule="exact"/>
              <w:jc w:val="right"/>
              <w:rPr>
                <w:rFonts w:ascii="仿宋_GB2312" w:hAnsi="宋体" w:eastAsia="仿宋_GB2312" w:cs="宋体"/>
                <w:kern w:val="0"/>
                <w:sz w:val="22"/>
                <w:szCs w:val="22"/>
              </w:rPr>
            </w:pPr>
            <w:r>
              <w:rPr>
                <w:rFonts w:hint="eastAsia" w:ascii="仿宋_GB2312" w:hAnsi="宋体" w:eastAsia="仿宋_GB2312" w:cs="宋体"/>
                <w:kern w:val="0"/>
                <w:sz w:val="22"/>
                <w:szCs w:val="22"/>
              </w:rPr>
              <w:t>　</w:t>
            </w:r>
          </w:p>
        </w:tc>
      </w:tr>
    </w:tbl>
    <w:p>
      <w:pPr>
        <w:ind w:firstLine="108" w:firstLineChars="50"/>
        <w:rPr>
          <w:rFonts w:ascii="仿宋_GB2312" w:hAnsi="宋体" w:eastAsia="仿宋_GB2312"/>
          <w:sz w:val="22"/>
          <w:szCs w:val="22"/>
        </w:rPr>
      </w:pPr>
      <w:r>
        <w:rPr>
          <w:rFonts w:hint="eastAsia" w:ascii="仿宋_GB2312" w:hAnsi="宋体" w:eastAsia="仿宋_GB2312"/>
          <w:sz w:val="22"/>
          <w:szCs w:val="22"/>
        </w:rPr>
        <w:t>注：市委党校没有政府性基金收入，也没有使用政府性基金安排的支出，故本表无数据。</w:t>
      </w:r>
    </w:p>
    <w:p>
      <w:pPr>
        <w:jc w:val="center"/>
        <w:rPr>
          <w:rFonts w:ascii="方正小标宋简体" w:eastAsia="方正小标宋简体"/>
          <w:sz w:val="44"/>
          <w:szCs w:val="44"/>
        </w:rPr>
      </w:pPr>
    </w:p>
    <w:p>
      <w:pPr>
        <w:rPr>
          <w:rFonts w:ascii="仿宋_GB2312" w:hAnsi="宋体" w:eastAsia="仿宋_GB2312"/>
          <w:sz w:val="22"/>
          <w:szCs w:val="22"/>
        </w:rPr>
        <w:sectPr>
          <w:pgSz w:w="16838" w:h="11906" w:orient="landscape"/>
          <w:pgMar w:top="1531" w:right="1701" w:bottom="1531" w:left="1701" w:header="0" w:footer="1418" w:gutter="0"/>
          <w:cols w:space="720" w:num="1"/>
          <w:docGrid w:type="linesAndChars" w:linePitch="610" w:charSpace="-849"/>
        </w:sectPr>
      </w:pPr>
    </w:p>
    <w:p>
      <w:pPr>
        <w:jc w:val="center"/>
        <w:rPr>
          <w:rFonts w:ascii="方正小标宋简体" w:eastAsia="方正小标宋简体"/>
          <w:sz w:val="44"/>
          <w:szCs w:val="44"/>
        </w:rPr>
      </w:pPr>
    </w:p>
    <w:p>
      <w:pPr>
        <w:rPr>
          <w:rFonts w:ascii="方正小标宋简体" w:eastAsia="方正小标宋简体"/>
          <w:sz w:val="44"/>
          <w:szCs w:val="44"/>
        </w:rPr>
      </w:pPr>
    </w:p>
    <w:p>
      <w:pPr>
        <w:rPr>
          <w:rFonts w:ascii="方正小标宋简体" w:eastAsia="方正小标宋简体"/>
          <w:sz w:val="44"/>
          <w:szCs w:val="44"/>
        </w:rPr>
      </w:pPr>
    </w:p>
    <w:p>
      <w:pPr>
        <w:rPr>
          <w:rFonts w:ascii="仿宋_GB2312" w:hAnsi="宋体" w:eastAsia="仿宋_GB2312"/>
          <w:sz w:val="22"/>
          <w:szCs w:val="22"/>
        </w:rPr>
      </w:pPr>
      <w:r>
        <w:rPr>
          <w:rFonts w:hint="eastAsia" w:ascii="黑体" w:eastAsia="黑体"/>
          <w:sz w:val="52"/>
          <w:szCs w:val="52"/>
        </w:rPr>
        <w:t>第三部分</w:t>
      </w:r>
    </w:p>
    <w:p>
      <w:pPr>
        <w:rPr>
          <w:rFonts w:ascii="黑体" w:eastAsia="黑体"/>
          <w:sz w:val="52"/>
          <w:szCs w:val="52"/>
        </w:rPr>
      </w:pPr>
    </w:p>
    <w:p>
      <w:pPr>
        <w:rPr>
          <w:rFonts w:ascii="黑体" w:eastAsia="黑体"/>
          <w:sz w:val="52"/>
          <w:szCs w:val="52"/>
        </w:rPr>
      </w:pPr>
    </w:p>
    <w:p>
      <w:pPr>
        <w:ind w:left="277" w:leftChars="8" w:hanging="260" w:hangingChars="50"/>
        <w:jc w:val="center"/>
        <w:rPr>
          <w:rFonts w:ascii="黑体" w:eastAsia="黑体"/>
          <w:sz w:val="52"/>
          <w:szCs w:val="52"/>
        </w:rPr>
      </w:pPr>
      <w:r>
        <w:rPr>
          <w:rFonts w:hint="eastAsia" w:ascii="黑体" w:eastAsia="黑体"/>
          <w:sz w:val="52"/>
          <w:szCs w:val="52"/>
        </w:rPr>
        <w:t>2019年度部门决算情况          和重要事项说明</w:t>
      </w: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spacing w:line="580" w:lineRule="exact"/>
        <w:ind w:firstLine="640" w:firstLineChars="200"/>
        <w:rPr>
          <w:rFonts w:ascii="黑体" w:hAnsi="黑体" w:eastAsia="黑体"/>
          <w:sz w:val="32"/>
          <w:szCs w:val="32"/>
        </w:rPr>
      </w:pPr>
      <w:r>
        <w:rPr>
          <w:rFonts w:hint="eastAsia" w:ascii="黑体" w:hAnsi="黑体" w:eastAsia="黑体"/>
          <w:sz w:val="32"/>
          <w:szCs w:val="32"/>
        </w:rPr>
        <w:t>一、2019年度部门决算情况说明</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（一）收入支出决算总体情况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2019年度收入总计12,339.61万元，支出总计12,339.61万元。与2018年相比，收、支总计各增加4,916.45 万元，增长66.23%。主要是</w:t>
      </w:r>
      <w:r>
        <w:rPr>
          <w:rFonts w:hint="eastAsia" w:ascii="仿宋_GB2312" w:hAnsi="仿宋" w:eastAsia="仿宋_GB2312" w:cs="仿宋_GB2312"/>
          <w:sz w:val="32"/>
          <w:szCs w:val="32"/>
        </w:rPr>
        <w:t>2019年基建账套并入行政帐，增加基建收支；2019年增加教学和智库建设创新工程项目收支</w:t>
      </w:r>
      <w:r>
        <w:rPr>
          <w:rFonts w:hint="eastAsia" w:ascii="仿宋_GB2312" w:eastAsia="仿宋_GB2312"/>
          <w:sz w:val="32"/>
          <w:szCs w:val="32"/>
        </w:rPr>
        <w:t>。</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（二）收入决算情况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drawing>
          <wp:anchor distT="0" distB="0" distL="114300" distR="114300" simplePos="0" relativeHeight="251658240" behindDoc="0" locked="0" layoutInCell="1" allowOverlap="1">
            <wp:simplePos x="0" y="0"/>
            <wp:positionH relativeFrom="column">
              <wp:posOffset>16510</wp:posOffset>
            </wp:positionH>
            <wp:positionV relativeFrom="paragraph">
              <wp:posOffset>1501140</wp:posOffset>
            </wp:positionV>
            <wp:extent cx="5281930" cy="3075940"/>
            <wp:effectExtent l="0" t="0" r="0" b="0"/>
            <wp:wrapTopAndBottom/>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eastAsia" w:ascii="仿宋_GB2312" w:eastAsia="仿宋_GB2312"/>
          <w:sz w:val="32"/>
          <w:szCs w:val="32"/>
        </w:rPr>
        <w:t>2019年度本年收入12,312.53万元，其中：财政拨款收入11,676.85万元，占94.84%；事业收入458.36万元，占3.72%；其他收入177.31万元，占1.44%。</w:t>
      </w:r>
    </w:p>
    <w:p>
      <w:pPr>
        <w:spacing w:line="580" w:lineRule="exact"/>
        <w:rPr>
          <w:rFonts w:ascii="仿宋_GB2312" w:eastAsia="仿宋_GB2312"/>
          <w:b/>
          <w:sz w:val="32"/>
          <w:szCs w:val="32"/>
        </w:rPr>
      </w:pPr>
      <w:r>
        <w:rPr>
          <w:rFonts w:hint="eastAsia" w:ascii="仿宋_GB2312" w:eastAsia="仿宋_GB2312"/>
          <w:b/>
          <w:sz w:val="32"/>
          <w:szCs w:val="32"/>
        </w:rPr>
        <w:t xml:space="preserve">    </w:t>
      </w:r>
    </w:p>
    <w:p>
      <w:pPr>
        <w:spacing w:line="580" w:lineRule="exact"/>
        <w:rPr>
          <w:rFonts w:ascii="仿宋_GB2312" w:eastAsia="仿宋_GB2312"/>
          <w:b/>
          <w:sz w:val="32"/>
          <w:szCs w:val="32"/>
        </w:rPr>
      </w:pPr>
    </w:p>
    <w:p>
      <w:pPr>
        <w:spacing w:line="580" w:lineRule="exact"/>
        <w:rPr>
          <w:rFonts w:ascii="仿宋_GB2312" w:eastAsia="仿宋_GB2312"/>
          <w:b/>
          <w:sz w:val="32"/>
          <w:szCs w:val="32"/>
        </w:rPr>
      </w:pPr>
    </w:p>
    <w:p>
      <w:pPr>
        <w:spacing w:line="580" w:lineRule="exact"/>
        <w:rPr>
          <w:rFonts w:ascii="仿宋_GB2312" w:eastAsia="仿宋_GB2312"/>
          <w:b/>
          <w:sz w:val="32"/>
          <w:szCs w:val="32"/>
        </w:rPr>
      </w:pPr>
    </w:p>
    <w:p>
      <w:pPr>
        <w:spacing w:line="580" w:lineRule="exact"/>
        <w:ind w:firstLine="640" w:firstLineChars="200"/>
        <w:rPr>
          <w:rFonts w:ascii="楷体_GB2312" w:eastAsia="楷体_GB2312"/>
          <w:sz w:val="32"/>
          <w:szCs w:val="32"/>
        </w:rPr>
      </w:pPr>
      <w:r>
        <w:rPr>
          <w:rFonts w:hint="eastAsia" w:ascii="楷体_GB2312" w:eastAsia="楷体_GB2312"/>
          <w:sz w:val="32"/>
          <w:szCs w:val="32"/>
        </w:rPr>
        <w:t>（三）支出决算情况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2019年度本年支出12,339.61万元，其中：基本支出6,561.86万元，占53.18%；项目支出5,777.75万元，占46.82%。</w:t>
      </w:r>
    </w:p>
    <w:p>
      <w:pPr>
        <w:spacing w:line="580" w:lineRule="exact"/>
        <w:rPr>
          <w:rFonts w:ascii="仿宋_GB2312" w:eastAsia="仿宋_GB2312"/>
          <w:b/>
          <w:sz w:val="32"/>
          <w:szCs w:val="32"/>
        </w:rPr>
      </w:pPr>
      <w:r>
        <w:rPr>
          <w:rFonts w:hint="eastAsia" w:ascii="仿宋_GB2312" w:eastAsia="仿宋_GB2312"/>
          <w:b/>
          <w:sz w:val="32"/>
          <w:szCs w:val="32"/>
        </w:rPr>
        <w:t xml:space="preserve">    </w:t>
      </w:r>
    </w:p>
    <w:p>
      <w:pPr>
        <w:spacing w:line="580" w:lineRule="exact"/>
        <w:rPr>
          <w:rFonts w:ascii="仿宋_GB2312" w:eastAsia="仿宋_GB2312"/>
          <w:b/>
          <w:sz w:val="32"/>
          <w:szCs w:val="32"/>
        </w:rPr>
      </w:pPr>
      <w:r>
        <w:rPr>
          <w:rFonts w:hint="eastAsia" w:ascii="仿宋_GB2312" w:eastAsia="仿宋_GB2312"/>
          <w:b/>
          <w:sz w:val="32"/>
          <w:szCs w:val="32"/>
        </w:rPr>
        <w:drawing>
          <wp:anchor distT="0" distB="0" distL="114300" distR="114300" simplePos="0" relativeHeight="251659264" behindDoc="0" locked="0" layoutInCell="1" allowOverlap="1">
            <wp:simplePos x="0" y="0"/>
            <wp:positionH relativeFrom="column">
              <wp:posOffset>32385</wp:posOffset>
            </wp:positionH>
            <wp:positionV relativeFrom="paragraph">
              <wp:posOffset>92075</wp:posOffset>
            </wp:positionV>
            <wp:extent cx="5280660" cy="3075940"/>
            <wp:effectExtent l="0" t="0" r="0" b="0"/>
            <wp:wrapSquare wrapText="bothSides"/>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580" w:lineRule="exact"/>
        <w:ind w:firstLine="480" w:firstLineChars="150"/>
        <w:rPr>
          <w:rFonts w:ascii="楷体_GB2312" w:eastAsia="楷体_GB2312"/>
          <w:sz w:val="32"/>
          <w:szCs w:val="32"/>
        </w:rPr>
      </w:pPr>
      <w:r>
        <w:rPr>
          <w:rFonts w:hint="eastAsia" w:ascii="楷体_GB2312" w:eastAsia="楷体_GB2312"/>
          <w:sz w:val="32"/>
          <w:szCs w:val="32"/>
        </w:rPr>
        <w:t>（四）财政拨款收入支出决算总体情况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2019年度财政拨款收、支总计11,676.85万元。与2018年相比，财政拨款收、支总计各增加4649.47万元，增长66.16%。主要是</w:t>
      </w:r>
      <w:r>
        <w:rPr>
          <w:rFonts w:hint="eastAsia" w:ascii="仿宋_GB2312" w:hAnsi="仿宋" w:eastAsia="仿宋_GB2312" w:cs="仿宋_GB2312"/>
          <w:sz w:val="32"/>
          <w:szCs w:val="32"/>
        </w:rPr>
        <w:t>2019年基建账套并入行政帐，增加基建收支；2019年增加教学和智库建设创新工程项目收支</w:t>
      </w:r>
      <w:r>
        <w:rPr>
          <w:rFonts w:hint="eastAsia" w:ascii="仿宋_GB2312" w:eastAsia="仿宋_GB2312"/>
          <w:sz w:val="32"/>
          <w:szCs w:val="32"/>
        </w:rPr>
        <w:t>。</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2019年度财政拨款收入决算总计11,676.85万元，其中：一般公共预算财政拨款11,676.85万元，占100%；政府性基金预算财政拨款0万元；年初财政拨款结转和结余0万元。</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2019年度财政拨款支出决算总计11,676.85万元，其中：一般公共服务支出3,601.82万元，占30.85%；教育支出7，468.02万元，占63.95%；科学技术支出2.66万元，占0.02%；社会保障和就业支出324.37万元，占2.78%；住房保障支出279.98万元，占2.4%。</w:t>
      </w:r>
    </w:p>
    <w:p>
      <w:pPr>
        <w:spacing w:line="580" w:lineRule="exact"/>
        <w:ind w:firstLine="640" w:firstLineChars="200"/>
        <w:rPr>
          <w:rFonts w:ascii="仿宋_GB2312" w:eastAsia="仿宋_GB2312"/>
          <w:sz w:val="32"/>
          <w:szCs w:val="32"/>
        </w:rPr>
      </w:pPr>
    </w:p>
    <w:p>
      <w:pPr>
        <w:spacing w:line="580" w:lineRule="exact"/>
        <w:ind w:firstLine="642" w:firstLineChars="200"/>
        <w:rPr>
          <w:rFonts w:ascii="仿宋_GB2312" w:eastAsia="仿宋_GB2312"/>
          <w:b/>
          <w:sz w:val="32"/>
          <w:szCs w:val="32"/>
        </w:rPr>
      </w:pPr>
      <w:r>
        <w:rPr>
          <w:rFonts w:hint="eastAsia" w:ascii="仿宋_GB2312" w:eastAsia="仿宋_GB2312"/>
          <w:b/>
          <w:sz w:val="32"/>
          <w:szCs w:val="32"/>
        </w:rPr>
        <w:drawing>
          <wp:anchor distT="0" distB="0" distL="114300" distR="114300" simplePos="0" relativeHeight="251660288" behindDoc="0" locked="0" layoutInCell="1" allowOverlap="1">
            <wp:simplePos x="0" y="0"/>
            <wp:positionH relativeFrom="column">
              <wp:posOffset>86360</wp:posOffset>
            </wp:positionH>
            <wp:positionV relativeFrom="paragraph">
              <wp:posOffset>285750</wp:posOffset>
            </wp:positionV>
            <wp:extent cx="5281295" cy="3075940"/>
            <wp:effectExtent l="0" t="0" r="0" b="0"/>
            <wp:wrapSquare wrapText="bothSides"/>
            <wp:docPr id="12"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580" w:lineRule="exact"/>
        <w:ind w:firstLine="600"/>
        <w:rPr>
          <w:rFonts w:ascii="楷体_GB2312" w:eastAsia="楷体_GB2312"/>
          <w:sz w:val="32"/>
          <w:szCs w:val="32"/>
        </w:rPr>
      </w:pPr>
      <w:r>
        <w:rPr>
          <w:rFonts w:hint="eastAsia" w:ascii="楷体_GB2312" w:eastAsia="楷体_GB2312"/>
          <w:sz w:val="32"/>
          <w:szCs w:val="32"/>
        </w:rPr>
        <w:t>（五）一般公共预算财政拨款支出决算情况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1、一般公共预算财政拨款支出决算总体情况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2019年度一般公共预算财政拨款支出11,676.85万元，占本年支出合计的94.84%。与2018年相比，一般公共预算财政拨款支出增加4649.47万元，增长66.16%。主要是</w:t>
      </w:r>
      <w:r>
        <w:rPr>
          <w:rFonts w:hint="eastAsia" w:ascii="仿宋_GB2312" w:hAnsi="仿宋" w:eastAsia="仿宋_GB2312" w:cs="仿宋_GB2312"/>
          <w:sz w:val="32"/>
          <w:szCs w:val="32"/>
        </w:rPr>
        <w:t>2019年基建账套并入行政帐，增加基建支出；2019年增加教学和智库建设创新工程项目支出</w:t>
      </w:r>
      <w:r>
        <w:rPr>
          <w:rFonts w:hint="eastAsia" w:ascii="仿宋_GB2312" w:eastAsia="仿宋_GB2312"/>
          <w:sz w:val="32"/>
          <w:szCs w:val="32"/>
        </w:rPr>
        <w:t>。</w:t>
      </w:r>
    </w:p>
    <w:p>
      <w:pPr>
        <w:spacing w:line="580" w:lineRule="exact"/>
        <w:ind w:firstLine="640" w:firstLineChars="200"/>
        <w:rPr>
          <w:rFonts w:ascii="仿宋_GB2312" w:eastAsia="仿宋_GB2312"/>
          <w:sz w:val="32"/>
          <w:szCs w:val="32"/>
        </w:rPr>
      </w:pPr>
      <w:r>
        <w:rPr>
          <w:rFonts w:hint="eastAsia" w:ascii="仿宋_GB2312" w:eastAsia="仿宋_GB2312"/>
          <w:bCs/>
          <w:sz w:val="32"/>
          <w:szCs w:val="32"/>
        </w:rPr>
        <w:t>2、</w:t>
      </w:r>
      <w:r>
        <w:rPr>
          <w:rFonts w:hint="eastAsia" w:ascii="仿宋_GB2312" w:eastAsia="仿宋_GB2312"/>
          <w:sz w:val="32"/>
          <w:szCs w:val="32"/>
        </w:rPr>
        <w:t>一般公共预算财政拨款支出决算结构情况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2019年度一般公共预算财政拨款支出11,676.85万元，主要用于以下方面：一般公共服务支出3,601.82万元，占30.85%；教育支出7,468.02万元，占63.95%；科学技术支出2.66万元，占0.02%；社会保障和就业支出324.37万元，占2.78%；住房保障支出279.98万元，占2.4%。</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drawing>
          <wp:anchor distT="0" distB="0" distL="114300" distR="114300" simplePos="0" relativeHeight="251662336" behindDoc="0" locked="0" layoutInCell="1" allowOverlap="1">
            <wp:simplePos x="0" y="0"/>
            <wp:positionH relativeFrom="column">
              <wp:posOffset>238760</wp:posOffset>
            </wp:positionH>
            <wp:positionV relativeFrom="paragraph">
              <wp:posOffset>438150</wp:posOffset>
            </wp:positionV>
            <wp:extent cx="5282565" cy="3076575"/>
            <wp:effectExtent l="0" t="0" r="0" b="0"/>
            <wp:wrapSquare wrapText="bothSides"/>
            <wp:docPr id="13"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580" w:lineRule="exact"/>
        <w:ind w:firstLine="640" w:firstLineChars="200"/>
        <w:rPr>
          <w:rFonts w:ascii="仿宋_GB2312" w:eastAsia="仿宋_GB2312"/>
          <w:sz w:val="32"/>
          <w:szCs w:val="32"/>
        </w:rPr>
      </w:pPr>
    </w:p>
    <w:p>
      <w:pPr>
        <w:spacing w:line="580" w:lineRule="exact"/>
        <w:ind w:firstLine="640" w:firstLineChars="200"/>
        <w:rPr>
          <w:rFonts w:ascii="仿宋_GB2312" w:eastAsia="仿宋_GB2312"/>
          <w:sz w:val="32"/>
          <w:szCs w:val="32"/>
        </w:rPr>
      </w:pPr>
      <w:r>
        <w:rPr>
          <w:rFonts w:hint="eastAsia" w:ascii="仿宋_GB2312" w:eastAsia="仿宋_GB2312"/>
          <w:sz w:val="32"/>
          <w:szCs w:val="32"/>
        </w:rPr>
        <w:t>3、一般公共预算财政拨款支出决算具体情况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2019年度一般公共预算财政拨款支出年初预算为11,206.93万元，支出决算为11,676.85 万元，完成年初预算的104.19%。决算数大于预算数的主要原因预算执行过程中</w:t>
      </w:r>
      <w:r>
        <w:rPr>
          <w:rFonts w:hint="eastAsia" w:ascii="仿宋_GB2312" w:hAnsi="仿宋" w:eastAsia="仿宋_GB2312" w:cs="仿宋"/>
          <w:bCs/>
          <w:color w:val="000000"/>
          <w:sz w:val="32"/>
          <w:szCs w:val="32"/>
        </w:rPr>
        <w:t>追加全市经济社会发展综合考核奖等。</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（1）一般公共服务（类）其他一般公共服务（款）其它一般公共服务支出（项）。主要反映用于基建支出的其他一般公共服务支出。年初预算为3601.82万元，支出决算为3601.82万元，与年初预算基本持平。</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教育支出（类）进修及培训（款）干部教育（项）。主要反映用于党校机构运转、举办各类培训班、教学科研等的支出。年初预算为7617.75万元，支出决算为8130.78万元，完成年初预算的106.73%。决算数大于预算数主要原因是预算执行过程中</w:t>
      </w:r>
      <w:r>
        <w:rPr>
          <w:rFonts w:hint="eastAsia" w:ascii="仿宋_GB2312" w:hAnsi="仿宋" w:eastAsia="仿宋_GB2312" w:cs="仿宋"/>
          <w:bCs/>
          <w:color w:val="000000"/>
          <w:sz w:val="32"/>
          <w:szCs w:val="32"/>
        </w:rPr>
        <w:t>追加全市经济社会发展综合考核奖等</w:t>
      </w:r>
      <w:r>
        <w:rPr>
          <w:rFonts w:hint="eastAsia" w:ascii="仿宋_GB2312" w:hAnsi="仿宋" w:eastAsia="仿宋_GB2312" w:cs="仿宋"/>
          <w:color w:val="000000"/>
          <w:sz w:val="32"/>
          <w:szCs w:val="32"/>
        </w:rPr>
        <w:t>。</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 xml:space="preserve"> (3) 科学技术支出（类）技术研究与开发（款）应用技术与开发（项）。主要反映教师从事技术开发研究和近期可能取得实用价值的专项技术开发研究的支出。年初预算为0万元，支出决算为2.66万元。决算数大于预算数主要原因是通过财政拨款纳入项目管理的横向课题，全部用于教师课题研究相关费用支出。</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(4) 社会保障和就业（类）行政事业单位离退休（款）机关事业单位基本养老保险缴费支出（项）。主要反映机关事业单位实施养老保险制度有单位缴纳的基本养老保险费支出。年初预算为358.44万元，支出决算为324.37万元，完成年初预算数的90.49%。决算小于预算数的主要原因是全年实际基本养老保险缴费略低于预算。</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5）住房保障（类）住房改革（款）住房公积金（项）。主要反映机关事业单位财政拨款资金和其他资金等安排的住房改革支出。年初预算数为259.92元，支出决算为279.97万元，完成年初预算数的107.71%。决算大于预算数的主要原因是实际人员变动住房公积金支出略高于预算数。</w:t>
      </w:r>
    </w:p>
    <w:p>
      <w:pPr>
        <w:spacing w:line="580" w:lineRule="exact"/>
        <w:ind w:firstLine="600"/>
        <w:rPr>
          <w:rFonts w:ascii="楷体_GB2312" w:eastAsia="楷体_GB2312"/>
          <w:sz w:val="32"/>
          <w:szCs w:val="32"/>
        </w:rPr>
      </w:pPr>
      <w:r>
        <w:rPr>
          <w:rFonts w:hint="eastAsia" w:ascii="楷体_GB2312" w:eastAsia="楷体_GB2312"/>
          <w:sz w:val="32"/>
          <w:szCs w:val="32"/>
        </w:rPr>
        <w:t>（六）一般公共预算财政拨款基本支出决算情况</w:t>
      </w:r>
    </w:p>
    <w:p>
      <w:pPr>
        <w:spacing w:line="580" w:lineRule="exact"/>
        <w:ind w:firstLine="600"/>
        <w:rPr>
          <w:rFonts w:ascii="仿宋_GB2312" w:eastAsia="仿宋_GB2312"/>
          <w:sz w:val="32"/>
          <w:szCs w:val="32"/>
        </w:rPr>
      </w:pPr>
      <w:r>
        <w:rPr>
          <w:rFonts w:hint="eastAsia" w:ascii="仿宋_GB2312" w:eastAsia="仿宋_GB2312"/>
          <w:sz w:val="32"/>
          <w:szCs w:val="32"/>
        </w:rPr>
        <w:t>2019年度一般公共预算财政拨款基本支出5,899.1万元，包括人员经费和公用经费，支出具体情况如下：</w:t>
      </w:r>
    </w:p>
    <w:p>
      <w:pPr>
        <w:spacing w:line="580" w:lineRule="exact"/>
        <w:ind w:firstLine="640" w:firstLineChars="200"/>
        <w:rPr>
          <w:rFonts w:ascii="仿宋_GB2312" w:eastAsia="仿宋_GB2312"/>
          <w:b/>
          <w:sz w:val="32"/>
          <w:szCs w:val="32"/>
        </w:rPr>
      </w:pPr>
      <w:r>
        <w:rPr>
          <w:rFonts w:hint="eastAsia" w:ascii="仿宋_GB2312" w:eastAsia="仿宋_GB2312"/>
          <w:sz w:val="32"/>
          <w:szCs w:val="32"/>
        </w:rPr>
        <w:t>人员经费3,765.12万元，主要包括：基本工资、津贴补贴、奖金、社会保障缴费、伙食补助费、绩效工资、其他工资福利支出、离休费、退休费、抚恤金、生活补助、医疗费、助学金、奖励金、住房公积金、其他对个人和家庭的补助支出等。</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公用经费2,133.98万元，主要包括办公费、印刷费、水费、电费、邮电费、取暖费、物业管理费、差旅费、因公出国（境）费、维修（护）费、租赁费、会议费、培训费、公务接待费、劳务费、工会经费、福利费、公务用车运行维护费、其他交通费用、其他商品和服务支出等。</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（七）一般公共预算财政拨款“三公”经费支出决算情况</w:t>
      </w:r>
    </w:p>
    <w:p>
      <w:pPr>
        <w:spacing w:line="580" w:lineRule="exact"/>
        <w:ind w:firstLine="600"/>
        <w:rPr>
          <w:rFonts w:ascii="仿宋_GB2312" w:eastAsia="仿宋_GB2312"/>
          <w:sz w:val="32"/>
          <w:szCs w:val="32"/>
        </w:rPr>
      </w:pPr>
      <w:r>
        <w:rPr>
          <w:rFonts w:hint="eastAsia" w:ascii="仿宋_GB2312" w:eastAsia="仿宋_GB2312"/>
          <w:sz w:val="32"/>
          <w:szCs w:val="32"/>
        </w:rPr>
        <w:t>1、“三公”经费支出情况及增减变动原因</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2019年度一般公共预算财政拨款“三公”经费决算数为12.32万元，其中：因公出国（境）费用9.01万元，占73.13%；公务用车购置及运行费2.9万元，占23.54%；公务接待费0.41万元，占3.33%。</w:t>
      </w:r>
    </w:p>
    <w:p>
      <w:pPr>
        <w:spacing w:line="580" w:lineRule="exact"/>
        <w:ind w:firstLine="642" w:firstLineChars="200"/>
        <w:rPr>
          <w:rFonts w:ascii="仿宋_GB2312" w:eastAsia="仿宋_GB2312"/>
          <w:b/>
          <w:sz w:val="32"/>
          <w:szCs w:val="32"/>
        </w:rPr>
      </w:pPr>
    </w:p>
    <w:p>
      <w:pPr>
        <w:spacing w:line="580" w:lineRule="exact"/>
        <w:ind w:firstLine="642" w:firstLineChars="200"/>
        <w:rPr>
          <w:rFonts w:ascii="仿宋_GB2312" w:eastAsia="仿宋_GB2312"/>
          <w:b/>
          <w:sz w:val="32"/>
          <w:szCs w:val="32"/>
        </w:rPr>
      </w:pPr>
    </w:p>
    <w:p>
      <w:pPr>
        <w:spacing w:line="580" w:lineRule="exact"/>
        <w:ind w:firstLine="642" w:firstLineChars="200"/>
        <w:rPr>
          <w:rFonts w:ascii="仿宋_GB2312" w:eastAsia="仿宋_GB2312"/>
          <w:b/>
          <w:sz w:val="32"/>
          <w:szCs w:val="32"/>
        </w:rPr>
      </w:pPr>
    </w:p>
    <w:p>
      <w:pPr>
        <w:spacing w:line="580" w:lineRule="exact"/>
        <w:ind w:firstLine="642" w:firstLineChars="200"/>
        <w:rPr>
          <w:rFonts w:ascii="仿宋_GB2312" w:eastAsia="仿宋_GB2312"/>
          <w:b/>
          <w:sz w:val="32"/>
          <w:szCs w:val="32"/>
        </w:rPr>
      </w:pPr>
    </w:p>
    <w:p>
      <w:pPr>
        <w:spacing w:line="580" w:lineRule="exact"/>
        <w:ind w:firstLine="642" w:firstLineChars="200"/>
        <w:rPr>
          <w:rFonts w:ascii="仿宋_GB2312" w:eastAsia="仿宋_GB2312"/>
          <w:b/>
          <w:sz w:val="32"/>
          <w:szCs w:val="32"/>
        </w:rPr>
      </w:pPr>
      <w:r>
        <w:rPr>
          <w:rFonts w:hint="eastAsia" w:ascii="仿宋_GB2312" w:eastAsia="仿宋_GB2312"/>
          <w:b/>
          <w:sz w:val="32"/>
          <w:szCs w:val="32"/>
        </w:rPr>
        <w:drawing>
          <wp:anchor distT="0" distB="0" distL="114300" distR="114300" simplePos="0" relativeHeight="251663360" behindDoc="0" locked="0" layoutInCell="1" allowOverlap="1">
            <wp:simplePos x="0" y="0"/>
            <wp:positionH relativeFrom="column">
              <wp:posOffset>-141605</wp:posOffset>
            </wp:positionH>
            <wp:positionV relativeFrom="paragraph">
              <wp:posOffset>495935</wp:posOffset>
            </wp:positionV>
            <wp:extent cx="5276850" cy="3075940"/>
            <wp:effectExtent l="0" t="0" r="0" b="0"/>
            <wp:wrapSquare wrapText="bothSides"/>
            <wp:docPr id="16"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580" w:lineRule="exact"/>
        <w:ind w:firstLine="642" w:firstLineChars="200"/>
        <w:rPr>
          <w:rFonts w:ascii="仿宋_GB2312" w:eastAsia="仿宋_GB2312"/>
          <w:b/>
          <w:sz w:val="32"/>
          <w:szCs w:val="32"/>
        </w:rPr>
      </w:pPr>
    </w:p>
    <w:p>
      <w:pPr>
        <w:spacing w:line="580" w:lineRule="exact"/>
        <w:ind w:firstLine="600"/>
        <w:rPr>
          <w:rFonts w:ascii="仿宋_GB2312" w:eastAsia="仿宋_GB2312"/>
          <w:sz w:val="32"/>
          <w:szCs w:val="32"/>
        </w:rPr>
      </w:pPr>
      <w:r>
        <w:rPr>
          <w:rFonts w:hint="eastAsia" w:ascii="仿宋_GB2312" w:eastAsia="仿宋_GB2312"/>
          <w:sz w:val="32"/>
          <w:szCs w:val="32"/>
        </w:rPr>
        <w:t>2019年度一般公共预算财政拨款“三公”经费决算数比年初预算数减少129.96万元，主要原因是</w:t>
      </w:r>
      <w:r>
        <w:rPr>
          <w:rFonts w:hint="eastAsia" w:ascii="仿宋_GB2312" w:hAnsi="仿宋" w:eastAsia="仿宋_GB2312" w:cs="仿宋_GB2312"/>
          <w:sz w:val="32"/>
          <w:szCs w:val="32"/>
        </w:rPr>
        <w:t>2019年未发生赴美智库培训、公务用车运营维护费用降低等</w:t>
      </w:r>
      <w:r>
        <w:rPr>
          <w:rFonts w:hint="eastAsia" w:ascii="仿宋_GB2312" w:eastAsia="仿宋_GB2312"/>
          <w:sz w:val="32"/>
          <w:szCs w:val="32"/>
        </w:rPr>
        <w:t>。其中：因公出国（境）费用比年初预算数减少104.58万元，主要原因是</w:t>
      </w:r>
      <w:r>
        <w:rPr>
          <w:rFonts w:hint="eastAsia" w:ascii="仿宋_GB2312" w:hAnsi="仿宋" w:eastAsia="仿宋_GB2312" w:cs="仿宋_GB2312"/>
          <w:sz w:val="32"/>
          <w:szCs w:val="32"/>
        </w:rPr>
        <w:t>2019年未发生赴美智库培训支出</w:t>
      </w:r>
      <w:r>
        <w:rPr>
          <w:rFonts w:hint="eastAsia" w:ascii="仿宋_GB2312" w:eastAsia="仿宋_GB2312"/>
          <w:sz w:val="32"/>
          <w:szCs w:val="32"/>
        </w:rPr>
        <w:t>。公务用车购置及运行费比年初预算数减少11.54万元，主要原因是</w:t>
      </w:r>
      <w:r>
        <w:rPr>
          <w:rFonts w:hint="eastAsia" w:ascii="仿宋_GB2312" w:hAnsi="仿宋" w:eastAsia="仿宋_GB2312" w:cs="仿宋_GB2312"/>
          <w:sz w:val="32"/>
          <w:szCs w:val="32"/>
        </w:rPr>
        <w:t>严格执行机关公务用车管理办法，公务用车运营维护费用降低。</w:t>
      </w:r>
      <w:r>
        <w:rPr>
          <w:rFonts w:hint="eastAsia" w:ascii="仿宋_GB2312" w:eastAsia="仿宋_GB2312"/>
          <w:sz w:val="32"/>
          <w:szCs w:val="32"/>
        </w:rPr>
        <w:t>公务接待费比年初预算数减少14.03万元，主要原因是</w:t>
      </w:r>
      <w:r>
        <w:rPr>
          <w:rFonts w:hint="eastAsia" w:ascii="仿宋_GB2312" w:hAnsi="仿宋" w:eastAsia="仿宋_GB2312" w:cs="仿宋_GB2312"/>
          <w:sz w:val="32"/>
          <w:szCs w:val="32"/>
        </w:rPr>
        <w:t>厉行节俭、反对铺张浪费，</w:t>
      </w:r>
      <w:r>
        <w:rPr>
          <w:rFonts w:hint="eastAsia" w:ascii="仿宋_GB2312" w:eastAsia="仿宋_GB2312"/>
          <w:sz w:val="32"/>
          <w:szCs w:val="32"/>
        </w:rPr>
        <w:t>严格执行公务接待相关标准和规定。</w:t>
      </w:r>
    </w:p>
    <w:p>
      <w:pPr>
        <w:spacing w:line="580" w:lineRule="exact"/>
        <w:ind w:firstLine="600"/>
        <w:rPr>
          <w:rFonts w:ascii="仿宋_GB2312" w:eastAsia="仿宋_GB2312"/>
          <w:sz w:val="32"/>
          <w:szCs w:val="32"/>
        </w:rPr>
      </w:pPr>
      <w:r>
        <w:rPr>
          <w:rFonts w:hint="eastAsia" w:ascii="仿宋_GB2312" w:eastAsia="仿宋_GB2312"/>
          <w:sz w:val="32"/>
          <w:szCs w:val="32"/>
        </w:rPr>
        <w:t>2、“三公”经费支出相关情况说明</w:t>
      </w:r>
    </w:p>
    <w:p>
      <w:pPr>
        <w:spacing w:line="580" w:lineRule="exact"/>
        <w:ind w:firstLine="600"/>
        <w:rPr>
          <w:rFonts w:ascii="仿宋_GB2312" w:eastAsia="仿宋_GB2312"/>
          <w:sz w:val="32"/>
          <w:szCs w:val="32"/>
        </w:rPr>
      </w:pPr>
      <w:r>
        <w:rPr>
          <w:rFonts w:hint="eastAsia" w:ascii="仿宋_GB2312" w:eastAsia="仿宋_GB2312"/>
          <w:sz w:val="32"/>
          <w:szCs w:val="32"/>
        </w:rPr>
        <w:t>(1) 因公出国（境）费用指单位公务出国（境）的国际旅费、国外城市间交通费、住宿费、伙食费、培训费、公杂费等支出。2019年度一般公共预算财政拨款安排</w:t>
      </w:r>
      <w:r>
        <w:rPr>
          <w:rFonts w:hint="eastAsia" w:ascii="仿宋_GB2312" w:hAnsi="仿宋" w:eastAsia="仿宋_GB2312" w:cs="仿宋"/>
          <w:color w:val="000000"/>
          <w:sz w:val="32"/>
          <w:szCs w:val="32"/>
        </w:rPr>
        <w:t>因公出国（境）团组数</w:t>
      </w:r>
      <w:r>
        <w:rPr>
          <w:rFonts w:ascii="仿宋_GB2312" w:hAnsi="仿宋" w:eastAsia="仿宋_GB2312" w:cs="仿宋"/>
          <w:color w:val="000000"/>
          <w:sz w:val="32"/>
          <w:szCs w:val="32"/>
        </w:rPr>
        <w:t>1</w:t>
      </w:r>
      <w:r>
        <w:rPr>
          <w:rFonts w:hint="eastAsia" w:ascii="仿宋_GB2312" w:hAnsi="仿宋" w:eastAsia="仿宋_GB2312" w:cs="仿宋"/>
          <w:color w:val="000000"/>
          <w:sz w:val="32"/>
          <w:szCs w:val="32"/>
        </w:rPr>
        <w:t>个，</w:t>
      </w:r>
      <w:r>
        <w:rPr>
          <w:rFonts w:ascii="仿宋_GB2312" w:hAnsi="仿宋" w:eastAsia="仿宋_GB2312" w:cs="仿宋"/>
          <w:color w:val="000000"/>
          <w:sz w:val="32"/>
          <w:szCs w:val="32"/>
        </w:rPr>
        <w:t>3</w:t>
      </w:r>
      <w:r>
        <w:rPr>
          <w:rFonts w:hint="eastAsia" w:ascii="仿宋_GB2312" w:hAnsi="仿宋" w:eastAsia="仿宋_GB2312" w:cs="仿宋"/>
          <w:color w:val="000000"/>
          <w:sz w:val="32"/>
          <w:szCs w:val="32"/>
        </w:rPr>
        <w:t>人次</w:t>
      </w:r>
      <w:r>
        <w:rPr>
          <w:rFonts w:hint="eastAsia" w:ascii="仿宋_GB2312" w:eastAsia="仿宋_GB2312"/>
          <w:sz w:val="32"/>
          <w:szCs w:val="32"/>
        </w:rPr>
        <w:t>。开支内容包括: 差旅费、伙食补助费、公杂费、培训费等。</w:t>
      </w:r>
    </w:p>
    <w:p>
      <w:pPr>
        <w:spacing w:line="580" w:lineRule="exact"/>
        <w:ind w:firstLine="588" w:firstLineChars="184"/>
        <w:rPr>
          <w:rFonts w:ascii="仿宋_GB2312" w:eastAsia="仿宋_GB2312"/>
          <w:sz w:val="32"/>
          <w:szCs w:val="32"/>
        </w:rPr>
      </w:pPr>
      <w:r>
        <w:rPr>
          <w:rFonts w:hint="eastAsia" w:ascii="仿宋_GB2312" w:eastAsia="仿宋_GB2312"/>
          <w:sz w:val="32"/>
          <w:szCs w:val="32"/>
        </w:rPr>
        <w:t xml:space="preserve"> (2) 公务用车购置及运行费指单位公务用车购置费（含车辆购置税）及按规定保留的公务用车燃料费、维修费、过路过桥费、保险费等支出。其中：公务用车购置费0万元。；公务用车运行费2.9万元。主要用于车辆燃料费、保险费、维修费及过路过桥费等。2019年度单位一般公共预算财政拨款开支运行维护费的公务用车保有量为4辆。</w:t>
      </w:r>
    </w:p>
    <w:p>
      <w:pPr>
        <w:spacing w:line="580" w:lineRule="exact"/>
        <w:ind w:firstLine="601"/>
        <w:rPr>
          <w:rFonts w:ascii="仿宋_GB2312" w:eastAsia="仿宋_GB2312"/>
          <w:sz w:val="32"/>
          <w:szCs w:val="32"/>
        </w:rPr>
      </w:pPr>
      <w:r>
        <w:rPr>
          <w:rFonts w:hint="eastAsia" w:ascii="仿宋_GB2312" w:eastAsia="仿宋_GB2312"/>
          <w:sz w:val="32"/>
          <w:szCs w:val="32"/>
        </w:rPr>
        <w:t xml:space="preserve"> (3) 公务接待费指单位按规定开支的各类公务接待（含外宾接待）支出。其中：国内接待费0.41万元。2019年度公务接待全部为国内公务接待，主要用于公务接待餐费，共计接待56批次，237人次，其中外事接待 0批次，0人次。 </w:t>
      </w:r>
    </w:p>
    <w:p>
      <w:pPr>
        <w:spacing w:line="580" w:lineRule="exact"/>
        <w:ind w:firstLine="600"/>
        <w:rPr>
          <w:rFonts w:ascii="仿宋_GB2312" w:eastAsia="仿宋_GB2312"/>
          <w:sz w:val="32"/>
          <w:szCs w:val="32"/>
        </w:rPr>
      </w:pPr>
      <w:r>
        <w:rPr>
          <w:rFonts w:hint="eastAsia" w:ascii="楷体_GB2312" w:eastAsia="楷体_GB2312"/>
          <w:sz w:val="32"/>
          <w:szCs w:val="32"/>
        </w:rPr>
        <w:t>（八）政府性基金预算财政拨款收入支出决算情况</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2018年度政府性基金预算财政拨款收入0万元。本部门没有政府性基金财政拨款收支。</w:t>
      </w:r>
    </w:p>
    <w:p>
      <w:pPr>
        <w:spacing w:line="580" w:lineRule="exact"/>
        <w:ind w:firstLine="600"/>
        <w:rPr>
          <w:rFonts w:ascii="黑体" w:hAnsi="黑体" w:eastAsia="黑体"/>
          <w:sz w:val="32"/>
          <w:szCs w:val="32"/>
        </w:rPr>
      </w:pPr>
      <w:r>
        <w:rPr>
          <w:rFonts w:hint="eastAsia" w:ascii="黑体" w:hAnsi="黑体" w:eastAsia="黑体"/>
          <w:sz w:val="32"/>
          <w:szCs w:val="32"/>
        </w:rPr>
        <w:t>二、重要事项说明</w:t>
      </w:r>
    </w:p>
    <w:p>
      <w:pPr>
        <w:spacing w:line="580" w:lineRule="exact"/>
        <w:ind w:firstLine="601"/>
        <w:rPr>
          <w:rFonts w:ascii="楷体_GB2312" w:eastAsia="楷体_GB2312"/>
          <w:sz w:val="32"/>
          <w:szCs w:val="32"/>
        </w:rPr>
      </w:pPr>
      <w:r>
        <w:rPr>
          <w:rFonts w:hint="eastAsia" w:ascii="楷体_GB2312" w:eastAsia="楷体_GB2312"/>
          <w:sz w:val="32"/>
          <w:szCs w:val="32"/>
        </w:rPr>
        <w:t>（一）机关运行经费支出情况说明</w:t>
      </w:r>
    </w:p>
    <w:p>
      <w:pPr>
        <w:spacing w:line="580" w:lineRule="exact"/>
        <w:ind w:firstLine="601"/>
        <w:rPr>
          <w:rFonts w:ascii="仿宋_GB2312" w:hAnsi="宋体" w:eastAsia="仿宋_GB2312" w:cs="Courier New"/>
          <w:sz w:val="32"/>
          <w:szCs w:val="32"/>
        </w:rPr>
      </w:pPr>
      <w:r>
        <w:rPr>
          <w:rFonts w:hint="eastAsia" w:ascii="仿宋_GB2312" w:hAnsi="宋体" w:eastAsia="仿宋_GB2312" w:cs="Courier New"/>
          <w:sz w:val="32"/>
          <w:szCs w:val="32"/>
        </w:rPr>
        <w:t>本部门所属预算单位全部为事业单位，无机关运行经费支出。</w:t>
      </w:r>
    </w:p>
    <w:p>
      <w:pPr>
        <w:spacing w:line="580" w:lineRule="exact"/>
        <w:ind w:firstLine="601"/>
        <w:rPr>
          <w:rFonts w:ascii="楷体_GB2312" w:eastAsia="楷体_GB2312"/>
          <w:sz w:val="32"/>
          <w:szCs w:val="32"/>
        </w:rPr>
      </w:pPr>
      <w:r>
        <w:rPr>
          <w:rFonts w:hint="eastAsia" w:ascii="楷体_GB2312" w:eastAsia="楷体_GB2312"/>
          <w:sz w:val="32"/>
          <w:szCs w:val="32"/>
        </w:rPr>
        <w:t>（二）政府采购支出情况说明</w:t>
      </w:r>
    </w:p>
    <w:p>
      <w:pPr>
        <w:spacing w:line="580" w:lineRule="exact"/>
        <w:ind w:firstLine="600"/>
        <w:rPr>
          <w:rFonts w:ascii="仿宋_GB2312" w:hAnsi="宋体" w:eastAsia="仿宋_GB2312" w:cs="Courier New"/>
          <w:sz w:val="32"/>
          <w:szCs w:val="32"/>
        </w:rPr>
      </w:pPr>
      <w:r>
        <w:rPr>
          <w:rFonts w:hint="eastAsia" w:ascii="仿宋_GB2312" w:hAnsi="宋体" w:eastAsia="仿宋_GB2312" w:cs="Courier New"/>
          <w:sz w:val="32"/>
          <w:szCs w:val="32"/>
        </w:rPr>
        <w:t>2019年度，政府采购金额1222.28万元，其中：政府采购货物金额</w:t>
      </w:r>
      <w:r>
        <w:rPr>
          <w:rFonts w:ascii="仿宋_GB2312" w:hAnsi="仿宋" w:eastAsia="仿宋_GB2312" w:cs="仿宋"/>
          <w:bCs/>
          <w:sz w:val="32"/>
          <w:szCs w:val="32"/>
        </w:rPr>
        <w:t>457.1</w:t>
      </w:r>
      <w:r>
        <w:rPr>
          <w:rFonts w:hint="eastAsia" w:ascii="仿宋_GB2312" w:hAnsi="宋体" w:eastAsia="仿宋_GB2312" w:cs="Courier New"/>
          <w:sz w:val="32"/>
          <w:szCs w:val="32"/>
        </w:rPr>
        <w:t>万元、政府采购工程金额</w:t>
      </w:r>
      <w:r>
        <w:rPr>
          <w:rFonts w:ascii="仿宋_GB2312" w:hAnsi="仿宋" w:eastAsia="仿宋_GB2312" w:cs="仿宋"/>
          <w:bCs/>
          <w:sz w:val="32"/>
          <w:szCs w:val="32"/>
        </w:rPr>
        <w:t>380.29</w:t>
      </w:r>
      <w:r>
        <w:rPr>
          <w:rFonts w:hint="eastAsia" w:ascii="仿宋_GB2312" w:hAnsi="宋体" w:eastAsia="仿宋_GB2312" w:cs="Courier New"/>
          <w:sz w:val="32"/>
          <w:szCs w:val="32"/>
        </w:rPr>
        <w:t>万元、政府采购服务金额</w:t>
      </w:r>
      <w:r>
        <w:rPr>
          <w:rFonts w:ascii="仿宋_GB2312" w:hAnsi="仿宋" w:eastAsia="仿宋_GB2312" w:cs="仿宋"/>
          <w:bCs/>
          <w:sz w:val="32"/>
          <w:szCs w:val="32"/>
        </w:rPr>
        <w:t>384.</w:t>
      </w:r>
      <w:r>
        <w:rPr>
          <w:rFonts w:hint="eastAsia" w:ascii="仿宋_GB2312" w:hAnsi="仿宋" w:eastAsia="仿宋_GB2312" w:cs="仿宋"/>
          <w:bCs/>
          <w:sz w:val="32"/>
          <w:szCs w:val="32"/>
        </w:rPr>
        <w:t>89</w:t>
      </w:r>
      <w:r>
        <w:rPr>
          <w:rFonts w:hint="eastAsia" w:ascii="仿宋_GB2312" w:hAnsi="宋体" w:eastAsia="仿宋_GB2312" w:cs="Courier New"/>
          <w:sz w:val="32"/>
          <w:szCs w:val="32"/>
        </w:rPr>
        <w:t>万元。授予中小企业合同金额</w:t>
      </w:r>
      <w:r>
        <w:rPr>
          <w:rFonts w:ascii="仿宋_GB2312" w:hAnsi="仿宋" w:eastAsia="仿宋_GB2312" w:cs="仿宋"/>
          <w:bCs/>
          <w:sz w:val="32"/>
          <w:szCs w:val="32"/>
        </w:rPr>
        <w:t>496.82</w:t>
      </w:r>
      <w:r>
        <w:rPr>
          <w:rFonts w:hint="eastAsia" w:ascii="仿宋_GB2312" w:hAnsi="宋体" w:eastAsia="仿宋_GB2312" w:cs="Courier New"/>
          <w:sz w:val="32"/>
          <w:szCs w:val="32"/>
        </w:rPr>
        <w:t>万元，占政府采购总额的40.65%，其中：授予小微企业合同金额421.33万元，占政府采购总额的34.47%。</w:t>
      </w:r>
    </w:p>
    <w:p>
      <w:pPr>
        <w:spacing w:line="580" w:lineRule="exact"/>
        <w:ind w:firstLine="600"/>
        <w:rPr>
          <w:rFonts w:ascii="楷体_GB2312" w:eastAsia="楷体_GB2312"/>
          <w:sz w:val="32"/>
          <w:szCs w:val="32"/>
          <w:highlight w:val="yellow"/>
        </w:rPr>
      </w:pPr>
      <w:r>
        <w:rPr>
          <w:rFonts w:hint="eastAsia" w:ascii="楷体_GB2312" w:eastAsia="楷体_GB2312"/>
          <w:sz w:val="32"/>
          <w:szCs w:val="32"/>
        </w:rPr>
        <w:t>（三）国有资产占用情况说明</w:t>
      </w:r>
    </w:p>
    <w:p>
      <w:pPr>
        <w:ind w:firstLine="645"/>
        <w:jc w:val="left"/>
        <w:rPr>
          <w:rFonts w:ascii="仿宋_GB2312" w:hAnsi="仿宋" w:eastAsia="仿宋_GB2312"/>
          <w:sz w:val="32"/>
          <w:szCs w:val="32"/>
        </w:rPr>
      </w:pPr>
      <w:r>
        <w:rPr>
          <w:rFonts w:hint="eastAsia" w:ascii="仿宋_GB2312" w:hAnsi="宋体" w:eastAsia="仿宋_GB2312" w:cs="Courier New"/>
          <w:sz w:val="32"/>
          <w:szCs w:val="32"/>
        </w:rPr>
        <w:t>截至2019</w:t>
      </w:r>
      <w:r>
        <w:rPr>
          <w:rFonts w:hint="eastAsia" w:ascii="仿宋_GB2312" w:hAnsi="仿宋" w:eastAsia="仿宋_GB2312"/>
          <w:sz w:val="32"/>
          <w:szCs w:val="32"/>
        </w:rPr>
        <w:t>年底，本部门共有车辆4 辆，其中，符合规定机要通信用车2辆、离退休干部用车2辆；单位价值50万元以上通用设备10台（套）。</w:t>
      </w:r>
    </w:p>
    <w:p>
      <w:pPr>
        <w:spacing w:line="580" w:lineRule="exact"/>
        <w:rPr>
          <w:rFonts w:ascii="楷体_GB2312" w:eastAsia="楷体_GB2312"/>
          <w:sz w:val="32"/>
          <w:szCs w:val="32"/>
        </w:rPr>
      </w:pPr>
      <w:r>
        <w:rPr>
          <w:rFonts w:hint="eastAsia" w:ascii="仿宋_GB2312" w:eastAsia="仿宋_GB2312"/>
          <w:sz w:val="32"/>
          <w:szCs w:val="32"/>
        </w:rPr>
        <w:t xml:space="preserve">    </w:t>
      </w:r>
      <w:r>
        <w:rPr>
          <w:rFonts w:hint="eastAsia" w:ascii="楷体_GB2312" w:eastAsia="楷体_GB2312"/>
          <w:sz w:val="32"/>
          <w:szCs w:val="32"/>
        </w:rPr>
        <w:t>（四）预算绩效管理工作开展情况说明</w:t>
      </w:r>
    </w:p>
    <w:p>
      <w:pPr>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根据《青岛市财政局关于开展2019年度预算部门专项资金绩效评价工作的通知》（青财绩〔2020〕2号）要求，我部门（单位）组织对2019年度“干部教育资金”开展了绩效自评，具体情况如下：</w:t>
      </w:r>
    </w:p>
    <w:p>
      <w:pPr>
        <w:ind w:firstLine="645"/>
        <w:jc w:val="left"/>
        <w:rPr>
          <w:rFonts w:ascii="仿宋_GB2312" w:eastAsia="仿宋_GB2312"/>
          <w:bCs/>
          <w:color w:val="000000"/>
          <w:sz w:val="32"/>
          <w:szCs w:val="32"/>
        </w:rPr>
      </w:pPr>
      <w:r>
        <w:rPr>
          <w:rFonts w:ascii="仿宋_GB2312" w:eastAsia="仿宋_GB2312"/>
          <w:bCs/>
          <w:color w:val="000000"/>
          <w:sz w:val="32"/>
          <w:szCs w:val="32"/>
        </w:rPr>
        <w:t>2019</w:t>
      </w:r>
      <w:r>
        <w:rPr>
          <w:rFonts w:hint="eastAsia" w:ascii="仿宋_GB2312" w:eastAsia="仿宋_GB2312"/>
          <w:bCs/>
          <w:color w:val="000000"/>
          <w:sz w:val="32"/>
          <w:szCs w:val="32"/>
        </w:rPr>
        <w:t>年市财政局对干部教育资金的绩效目标进行整合，整合后“干部教育资金”的主管部门是：市委组织部，年度资金总额</w:t>
      </w:r>
      <w:r>
        <w:rPr>
          <w:rFonts w:ascii="仿宋_GB2312" w:eastAsia="仿宋_GB2312"/>
          <w:bCs/>
          <w:color w:val="000000"/>
          <w:sz w:val="32"/>
          <w:szCs w:val="32"/>
        </w:rPr>
        <w:t>3506</w:t>
      </w:r>
      <w:r>
        <w:rPr>
          <w:rFonts w:hint="eastAsia" w:ascii="仿宋_GB2312" w:eastAsia="仿宋_GB2312"/>
          <w:bCs/>
          <w:color w:val="000000"/>
          <w:sz w:val="32"/>
          <w:szCs w:val="32"/>
        </w:rPr>
        <w:t>万元，项目单位包括：市委组织部、市委党校、广播电视大学。我单位“干部教育资金”涉及主体班次补助资金、教学与智库建设创新工程两部分专项资金，年度资金总额为</w:t>
      </w:r>
      <w:r>
        <w:rPr>
          <w:rFonts w:ascii="仿宋_GB2312" w:eastAsia="仿宋_GB2312"/>
          <w:bCs/>
          <w:color w:val="000000"/>
          <w:sz w:val="32"/>
          <w:szCs w:val="32"/>
        </w:rPr>
        <w:t>2310</w:t>
      </w:r>
      <w:r>
        <w:rPr>
          <w:rFonts w:hint="eastAsia" w:ascii="仿宋_GB2312" w:eastAsia="仿宋_GB2312"/>
          <w:bCs/>
          <w:color w:val="000000"/>
          <w:sz w:val="32"/>
          <w:szCs w:val="32"/>
        </w:rPr>
        <w:t>万元。</w:t>
      </w:r>
    </w:p>
    <w:p>
      <w:pPr>
        <w:spacing w:line="570" w:lineRule="exact"/>
        <w:ind w:firstLine="640" w:firstLineChars="200"/>
        <w:rPr>
          <w:rFonts w:ascii="仿宋_GB2312" w:hAnsi="楷体" w:eastAsia="仿宋_GB2312" w:cs="楷体"/>
          <w:bCs/>
          <w:color w:val="000000"/>
          <w:sz w:val="32"/>
          <w:szCs w:val="32"/>
        </w:rPr>
      </w:pPr>
      <w:r>
        <w:rPr>
          <w:rFonts w:hint="eastAsia" w:ascii="仿宋_GB2312" w:eastAsia="仿宋_GB2312"/>
          <w:bCs/>
          <w:color w:val="000000"/>
          <w:sz w:val="32"/>
          <w:szCs w:val="32"/>
        </w:rPr>
        <w:t>从评价情况看，</w:t>
      </w:r>
      <w:r>
        <w:rPr>
          <w:rFonts w:ascii="仿宋_GB2312" w:hAnsi="楷体" w:eastAsia="仿宋_GB2312" w:cs="楷体"/>
          <w:bCs/>
          <w:color w:val="000000"/>
          <w:sz w:val="32"/>
          <w:szCs w:val="32"/>
        </w:rPr>
        <w:t>2019</w:t>
      </w:r>
      <w:r>
        <w:rPr>
          <w:rFonts w:hint="eastAsia" w:ascii="仿宋_GB2312" w:hAnsi="楷体" w:eastAsia="仿宋_GB2312" w:cs="楷体"/>
          <w:bCs/>
          <w:color w:val="000000"/>
          <w:sz w:val="32"/>
          <w:szCs w:val="32"/>
        </w:rPr>
        <w:t>年</w:t>
      </w:r>
      <w:r>
        <w:rPr>
          <w:rFonts w:ascii="仿宋_GB2312" w:hAnsi="楷体" w:eastAsia="仿宋_GB2312" w:cs="楷体"/>
          <w:bCs/>
          <w:color w:val="000000"/>
          <w:sz w:val="32"/>
          <w:szCs w:val="32"/>
        </w:rPr>
        <w:t>,</w:t>
      </w:r>
      <w:r>
        <w:rPr>
          <w:rFonts w:hint="eastAsia" w:ascii="仿宋_GB2312" w:hAnsi="楷体" w:eastAsia="仿宋_GB2312" w:cs="楷体"/>
          <w:bCs/>
          <w:color w:val="000000"/>
          <w:sz w:val="32"/>
          <w:szCs w:val="32"/>
        </w:rPr>
        <w:t>我校认真贯彻落实习近平总书记对青岛工作的重要指示精神，紧紧围绕市委“学深圳、赶深圳”、发起</w:t>
      </w:r>
      <w:r>
        <w:rPr>
          <w:rFonts w:ascii="仿宋_GB2312" w:hAnsi="楷体" w:eastAsia="仿宋_GB2312" w:cs="楷体"/>
          <w:bCs/>
          <w:color w:val="000000"/>
          <w:sz w:val="32"/>
          <w:szCs w:val="32"/>
        </w:rPr>
        <w:t>15</w:t>
      </w:r>
      <w:r>
        <w:rPr>
          <w:rFonts w:hint="eastAsia" w:ascii="仿宋_GB2312" w:hAnsi="楷体" w:eastAsia="仿宋_GB2312" w:cs="楷体"/>
          <w:bCs/>
          <w:color w:val="000000"/>
          <w:sz w:val="32"/>
          <w:szCs w:val="32"/>
        </w:rPr>
        <w:t>个攻势、打造“三化一型”高素质干部队伍等部署要求和市委主要领导对党校工作的指示要求，采取扎实有效举措，推动教学、科研、咨政、管理创新改革，市委主要领导</w:t>
      </w:r>
      <w:r>
        <w:rPr>
          <w:rFonts w:ascii="仿宋_GB2312" w:hAnsi="楷体" w:eastAsia="仿宋_GB2312" w:cs="楷体"/>
          <w:bCs/>
          <w:color w:val="000000"/>
          <w:sz w:val="32"/>
          <w:szCs w:val="32"/>
        </w:rPr>
        <w:t>4</w:t>
      </w:r>
      <w:r>
        <w:rPr>
          <w:rFonts w:hint="eastAsia" w:ascii="仿宋_GB2312" w:hAnsi="楷体" w:eastAsia="仿宋_GB2312" w:cs="楷体"/>
          <w:bCs/>
          <w:color w:val="000000"/>
          <w:sz w:val="32"/>
          <w:szCs w:val="32"/>
        </w:rPr>
        <w:t>次对我校工作作出肯定性批示，“智慧校园”工作获得中央党校分管日常工作的副校长何毅亭同志肯定性批示，打造全国副省级城市一流党校升级版不断取得新成效。</w:t>
      </w:r>
    </w:p>
    <w:p>
      <w:pPr>
        <w:spacing w:line="570" w:lineRule="exact"/>
        <w:rPr>
          <w:rFonts w:ascii="仿宋_GB2312" w:hAnsi="楷体" w:eastAsia="仿宋_GB2312" w:cs="楷体"/>
          <w:bCs/>
          <w:color w:val="000000"/>
          <w:sz w:val="32"/>
          <w:szCs w:val="32"/>
        </w:rPr>
      </w:pPr>
      <w:r>
        <w:rPr>
          <w:rFonts w:hint="eastAsia" w:ascii="楷体" w:hAnsi="楷体" w:eastAsia="楷体" w:cs="楷体"/>
          <w:bCs/>
          <w:color w:val="000000"/>
          <w:sz w:val="32"/>
          <w:szCs w:val="32"/>
        </w:rPr>
        <w:t>一是充分发挥干部培训主渠道作用</w:t>
      </w:r>
      <w:r>
        <w:rPr>
          <w:rFonts w:ascii="楷体" w:hAnsi="楷体" w:eastAsia="楷体" w:cs="楷体"/>
          <w:bCs/>
          <w:color w:val="000000"/>
          <w:sz w:val="32"/>
          <w:szCs w:val="32"/>
        </w:rPr>
        <w:t>,</w:t>
      </w:r>
      <w:r>
        <w:rPr>
          <w:rFonts w:hint="eastAsia" w:ascii="楷体" w:hAnsi="楷体" w:eastAsia="楷体" w:cs="楷体"/>
          <w:bCs/>
          <w:color w:val="000000"/>
          <w:sz w:val="32"/>
          <w:szCs w:val="32"/>
        </w:rPr>
        <w:t>圆满完成培训计划。</w:t>
      </w:r>
      <w:r>
        <w:rPr>
          <w:rFonts w:hint="eastAsia" w:ascii="仿宋_GB2312" w:hAnsi="楷体" w:eastAsia="仿宋_GB2312" w:cs="楷体"/>
          <w:bCs/>
          <w:color w:val="000000"/>
          <w:sz w:val="32"/>
          <w:szCs w:val="32"/>
        </w:rPr>
        <w:t>全年共举办各类班次</w:t>
      </w:r>
      <w:r>
        <w:rPr>
          <w:rFonts w:ascii="仿宋_GB2312" w:hAnsi="楷体" w:eastAsia="仿宋_GB2312" w:cs="楷体"/>
          <w:bCs/>
          <w:color w:val="000000"/>
          <w:sz w:val="32"/>
          <w:szCs w:val="32"/>
        </w:rPr>
        <w:t>65</w:t>
      </w:r>
      <w:r>
        <w:rPr>
          <w:rFonts w:hint="eastAsia" w:ascii="仿宋_GB2312" w:hAnsi="楷体" w:eastAsia="仿宋_GB2312" w:cs="楷体"/>
          <w:bCs/>
          <w:color w:val="000000"/>
          <w:sz w:val="32"/>
          <w:szCs w:val="32"/>
        </w:rPr>
        <w:t>期，培训学员</w:t>
      </w:r>
      <w:r>
        <w:rPr>
          <w:rFonts w:ascii="仿宋_GB2312" w:hAnsi="楷体" w:eastAsia="仿宋_GB2312" w:cs="楷体"/>
          <w:bCs/>
          <w:color w:val="000000"/>
          <w:sz w:val="32"/>
          <w:szCs w:val="32"/>
        </w:rPr>
        <w:t>6575</w:t>
      </w:r>
      <w:r>
        <w:rPr>
          <w:rFonts w:hint="eastAsia" w:ascii="仿宋_GB2312" w:hAnsi="楷体" w:eastAsia="仿宋_GB2312" w:cs="楷体"/>
          <w:bCs/>
          <w:color w:val="000000"/>
          <w:sz w:val="32"/>
          <w:szCs w:val="32"/>
        </w:rPr>
        <w:t>人</w:t>
      </w:r>
      <w:r>
        <w:rPr>
          <w:rFonts w:ascii="仿宋_GB2312" w:hAnsi="楷体" w:eastAsia="仿宋_GB2312" w:cs="楷体"/>
          <w:bCs/>
          <w:color w:val="000000"/>
          <w:sz w:val="32"/>
          <w:szCs w:val="32"/>
        </w:rPr>
        <w:t>(</w:t>
      </w:r>
      <w:r>
        <w:rPr>
          <w:rFonts w:hint="eastAsia" w:ascii="仿宋_GB2312" w:hAnsi="楷体" w:eastAsia="仿宋_GB2312" w:cs="楷体"/>
          <w:bCs/>
          <w:color w:val="000000"/>
          <w:sz w:val="32"/>
          <w:szCs w:val="32"/>
        </w:rPr>
        <w:t>其中，举办主体班次</w:t>
      </w:r>
      <w:r>
        <w:rPr>
          <w:rFonts w:ascii="仿宋_GB2312" w:hAnsi="楷体" w:eastAsia="仿宋_GB2312" w:cs="楷体"/>
          <w:bCs/>
          <w:color w:val="000000"/>
          <w:sz w:val="32"/>
          <w:szCs w:val="32"/>
        </w:rPr>
        <w:t>29</w:t>
      </w:r>
      <w:r>
        <w:rPr>
          <w:rFonts w:hint="eastAsia" w:ascii="仿宋_GB2312" w:hAnsi="楷体" w:eastAsia="仿宋_GB2312" w:cs="楷体"/>
          <w:bCs/>
          <w:color w:val="000000"/>
          <w:sz w:val="32"/>
          <w:szCs w:val="32"/>
        </w:rPr>
        <w:t>期，培训</w:t>
      </w:r>
      <w:r>
        <w:rPr>
          <w:rFonts w:ascii="仿宋_GB2312" w:hAnsi="楷体" w:eastAsia="仿宋_GB2312" w:cs="楷体"/>
          <w:bCs/>
          <w:color w:val="000000"/>
          <w:sz w:val="32"/>
          <w:szCs w:val="32"/>
        </w:rPr>
        <w:t>2367</w:t>
      </w:r>
      <w:r>
        <w:rPr>
          <w:rFonts w:hint="eastAsia" w:ascii="仿宋_GB2312" w:hAnsi="楷体" w:eastAsia="仿宋_GB2312" w:cs="楷体"/>
          <w:bCs/>
          <w:color w:val="000000"/>
          <w:sz w:val="32"/>
          <w:szCs w:val="32"/>
        </w:rPr>
        <w:t>人；计划外培训班次</w:t>
      </w:r>
      <w:r>
        <w:rPr>
          <w:rFonts w:ascii="仿宋_GB2312" w:hAnsi="楷体" w:eastAsia="仿宋_GB2312" w:cs="楷体"/>
          <w:bCs/>
          <w:color w:val="000000"/>
          <w:sz w:val="32"/>
          <w:szCs w:val="32"/>
        </w:rPr>
        <w:t>36</w:t>
      </w:r>
      <w:r>
        <w:rPr>
          <w:rFonts w:hint="eastAsia" w:ascii="仿宋_GB2312" w:hAnsi="楷体" w:eastAsia="仿宋_GB2312" w:cs="楷体"/>
          <w:bCs/>
          <w:color w:val="000000"/>
          <w:sz w:val="32"/>
          <w:szCs w:val="32"/>
        </w:rPr>
        <w:t>期，培训</w:t>
      </w:r>
      <w:r>
        <w:rPr>
          <w:rFonts w:ascii="仿宋_GB2312" w:hAnsi="楷体" w:eastAsia="仿宋_GB2312" w:cs="楷体"/>
          <w:bCs/>
          <w:color w:val="000000"/>
          <w:sz w:val="32"/>
          <w:szCs w:val="32"/>
        </w:rPr>
        <w:t>4208</w:t>
      </w:r>
      <w:r>
        <w:rPr>
          <w:rFonts w:hint="eastAsia" w:ascii="仿宋_GB2312" w:hAnsi="楷体" w:eastAsia="仿宋_GB2312" w:cs="楷体"/>
          <w:bCs/>
          <w:color w:val="000000"/>
          <w:sz w:val="32"/>
          <w:szCs w:val="32"/>
        </w:rPr>
        <w:t>人</w:t>
      </w:r>
      <w:r>
        <w:rPr>
          <w:rFonts w:ascii="仿宋_GB2312" w:hAnsi="楷体" w:eastAsia="仿宋_GB2312" w:cs="楷体"/>
          <w:bCs/>
          <w:color w:val="000000"/>
          <w:sz w:val="32"/>
          <w:szCs w:val="32"/>
        </w:rPr>
        <w:t>)</w:t>
      </w:r>
      <w:r>
        <w:rPr>
          <w:rFonts w:hint="eastAsia" w:ascii="仿宋_GB2312" w:hAnsi="楷体" w:eastAsia="仿宋_GB2312" w:cs="楷体"/>
          <w:bCs/>
          <w:color w:val="000000"/>
          <w:sz w:val="32"/>
          <w:szCs w:val="32"/>
        </w:rPr>
        <w:t>。招收</w:t>
      </w:r>
      <w:r>
        <w:rPr>
          <w:rFonts w:ascii="仿宋_GB2312" w:hAnsi="楷体" w:eastAsia="仿宋_GB2312" w:cs="楷体"/>
          <w:bCs/>
          <w:color w:val="000000"/>
          <w:sz w:val="32"/>
          <w:szCs w:val="32"/>
        </w:rPr>
        <w:t>2019</w:t>
      </w:r>
      <w:r>
        <w:rPr>
          <w:rFonts w:hint="eastAsia" w:ascii="仿宋_GB2312" w:hAnsi="楷体" w:eastAsia="仿宋_GB2312" w:cs="楷体"/>
          <w:bCs/>
          <w:color w:val="000000"/>
          <w:sz w:val="32"/>
          <w:szCs w:val="32"/>
        </w:rPr>
        <w:t>级研究生</w:t>
      </w:r>
      <w:r>
        <w:rPr>
          <w:rFonts w:ascii="仿宋_GB2312" w:hAnsi="楷体" w:eastAsia="仿宋_GB2312" w:cs="楷体"/>
          <w:bCs/>
          <w:color w:val="000000"/>
          <w:sz w:val="32"/>
          <w:szCs w:val="32"/>
        </w:rPr>
        <w:t>124</w:t>
      </w:r>
      <w:r>
        <w:rPr>
          <w:rFonts w:hint="eastAsia" w:ascii="仿宋_GB2312" w:hAnsi="楷体" w:eastAsia="仿宋_GB2312" w:cs="楷体"/>
          <w:bCs/>
          <w:color w:val="000000"/>
          <w:sz w:val="32"/>
          <w:szCs w:val="32"/>
        </w:rPr>
        <w:t>人。举办全市非公有制经济人士专题培训班，圆满完成服务推进壮大民营经济攻势的专项工作</w:t>
      </w:r>
      <w:r>
        <w:rPr>
          <w:rFonts w:ascii="仿宋_GB2312" w:hAnsi="楷体" w:eastAsia="仿宋_GB2312" w:cs="楷体"/>
          <w:bCs/>
          <w:color w:val="000000"/>
          <w:sz w:val="32"/>
          <w:szCs w:val="32"/>
        </w:rPr>
        <w:t>,</w:t>
      </w:r>
      <w:r>
        <w:rPr>
          <w:rFonts w:hint="eastAsia" w:ascii="仿宋_GB2312" w:hAnsi="楷体" w:eastAsia="仿宋_GB2312" w:cs="楷体"/>
          <w:bCs/>
          <w:color w:val="000000"/>
          <w:sz w:val="32"/>
          <w:szCs w:val="32"/>
        </w:rPr>
        <w:t>充分发挥了干部教育培训主渠道作用。全年获全省党校系统优秀教学奖</w:t>
      </w:r>
      <w:r>
        <w:rPr>
          <w:rFonts w:ascii="仿宋_GB2312" w:hAnsi="楷体" w:eastAsia="仿宋_GB2312" w:cs="楷体"/>
          <w:bCs/>
          <w:color w:val="000000"/>
          <w:sz w:val="32"/>
          <w:szCs w:val="32"/>
        </w:rPr>
        <w:t>2</w:t>
      </w:r>
      <w:r>
        <w:rPr>
          <w:rFonts w:hint="eastAsia" w:ascii="仿宋_GB2312" w:hAnsi="楷体" w:eastAsia="仿宋_GB2312" w:cs="楷体"/>
          <w:bCs/>
          <w:color w:val="000000"/>
          <w:sz w:val="32"/>
          <w:szCs w:val="32"/>
        </w:rPr>
        <w:t>项、全省党校系统精品课二等奖</w:t>
      </w:r>
      <w:r>
        <w:rPr>
          <w:rFonts w:ascii="仿宋_GB2312" w:hAnsi="楷体" w:eastAsia="仿宋_GB2312" w:cs="楷体"/>
          <w:bCs/>
          <w:color w:val="000000"/>
          <w:sz w:val="32"/>
          <w:szCs w:val="32"/>
        </w:rPr>
        <w:t>1</w:t>
      </w:r>
      <w:r>
        <w:rPr>
          <w:rFonts w:hint="eastAsia" w:ascii="仿宋_GB2312" w:hAnsi="楷体" w:eastAsia="仿宋_GB2312" w:cs="楷体"/>
          <w:bCs/>
          <w:color w:val="000000"/>
          <w:sz w:val="32"/>
          <w:szCs w:val="32"/>
        </w:rPr>
        <w:t>项，两堂课被评为全省干部教育培训好课程。把“用学术讲政治”作为教学改革的“一号工程”，</w:t>
      </w:r>
      <w:r>
        <w:rPr>
          <w:rFonts w:ascii="仿宋_GB2312" w:hAnsi="楷体" w:eastAsia="仿宋_GB2312" w:cs="楷体"/>
          <w:bCs/>
          <w:color w:val="000000"/>
          <w:sz w:val="32"/>
          <w:szCs w:val="32"/>
        </w:rPr>
        <w:t xml:space="preserve"> </w:t>
      </w:r>
      <w:r>
        <w:rPr>
          <w:rFonts w:hint="eastAsia" w:ascii="仿宋_GB2312" w:hAnsi="楷体" w:eastAsia="仿宋_GB2312" w:cs="楷体"/>
          <w:bCs/>
          <w:color w:val="000000"/>
          <w:sz w:val="32"/>
          <w:szCs w:val="32"/>
        </w:rPr>
        <w:t>用学术用理论回答学员关切和困惑，有效带动教学提质增效，教学满意率达</w:t>
      </w:r>
      <w:r>
        <w:rPr>
          <w:rFonts w:ascii="仿宋_GB2312" w:hAnsi="楷体" w:eastAsia="仿宋_GB2312" w:cs="楷体"/>
          <w:bCs/>
          <w:color w:val="000000"/>
          <w:sz w:val="32"/>
          <w:szCs w:val="32"/>
        </w:rPr>
        <w:t>95.53%</w:t>
      </w:r>
      <w:r>
        <w:rPr>
          <w:rFonts w:hint="eastAsia" w:ascii="仿宋_GB2312" w:hAnsi="楷体" w:eastAsia="仿宋_GB2312" w:cs="楷体"/>
          <w:bCs/>
          <w:color w:val="000000"/>
          <w:sz w:val="32"/>
          <w:szCs w:val="32"/>
        </w:rPr>
        <w:t>，教学管理经验</w:t>
      </w:r>
      <w:r>
        <w:rPr>
          <w:rFonts w:ascii="仿宋_GB2312" w:hAnsi="楷体" w:eastAsia="仿宋_GB2312" w:cs="楷体"/>
          <w:bCs/>
          <w:color w:val="000000"/>
          <w:sz w:val="32"/>
          <w:szCs w:val="32"/>
        </w:rPr>
        <w:t>16</w:t>
      </w:r>
      <w:r>
        <w:rPr>
          <w:rFonts w:hint="eastAsia" w:ascii="仿宋_GB2312" w:hAnsi="楷体" w:eastAsia="仿宋_GB2312" w:cs="楷体"/>
          <w:bCs/>
          <w:color w:val="000000"/>
          <w:sz w:val="32"/>
          <w:szCs w:val="32"/>
        </w:rPr>
        <w:t>次被中央党校《学习时报》、《山东党校通讯》、《青岛日报》等媒体宣传推广。</w:t>
      </w:r>
      <w:r>
        <w:rPr>
          <w:rFonts w:hint="eastAsia" w:ascii="楷体" w:hAnsi="楷体" w:eastAsia="楷体" w:cs="楷体"/>
          <w:bCs/>
          <w:color w:val="000000"/>
          <w:sz w:val="32"/>
          <w:szCs w:val="32"/>
        </w:rPr>
        <w:t>二是强化思想引领，抢占思想舆论高地。</w:t>
      </w:r>
      <w:r>
        <w:rPr>
          <w:rFonts w:hint="eastAsia" w:ascii="仿宋_GB2312" w:hAnsi="楷体" w:eastAsia="仿宋_GB2312" w:cs="楷体"/>
          <w:bCs/>
          <w:color w:val="000000"/>
          <w:sz w:val="32"/>
          <w:szCs w:val="32"/>
        </w:rPr>
        <w:t>主动与青岛日报、青岛广播电视台建立合作，在青岛日报《学习论丛》专版、青岛广播电视台“蓝睛”</w:t>
      </w:r>
      <w:r>
        <w:rPr>
          <w:rFonts w:ascii="仿宋_GB2312" w:hAnsi="楷体" w:eastAsia="仿宋_GB2312" w:cs="楷体"/>
          <w:bCs/>
          <w:color w:val="000000"/>
          <w:sz w:val="32"/>
          <w:szCs w:val="32"/>
        </w:rPr>
        <w:t>APP</w:t>
      </w:r>
      <w:r>
        <w:rPr>
          <w:rFonts w:hint="eastAsia" w:ascii="仿宋_GB2312" w:hAnsi="楷体" w:eastAsia="仿宋_GB2312" w:cs="楷体"/>
          <w:bCs/>
          <w:color w:val="000000"/>
          <w:sz w:val="32"/>
          <w:szCs w:val="32"/>
        </w:rPr>
        <w:t>上刊发党校系统教师和党校学员研究阐释宣传市委部署要求的文章</w:t>
      </w:r>
      <w:r>
        <w:rPr>
          <w:rFonts w:ascii="仿宋_GB2312" w:hAnsi="楷体" w:eastAsia="仿宋_GB2312" w:cs="楷体"/>
          <w:bCs/>
          <w:color w:val="000000"/>
          <w:sz w:val="32"/>
          <w:szCs w:val="32"/>
        </w:rPr>
        <w:t>120</w:t>
      </w:r>
      <w:r>
        <w:rPr>
          <w:rFonts w:hint="eastAsia" w:ascii="仿宋_GB2312" w:hAnsi="楷体" w:eastAsia="仿宋_GB2312" w:cs="楷体"/>
          <w:bCs/>
          <w:color w:val="000000"/>
          <w:sz w:val="32"/>
          <w:szCs w:val="32"/>
        </w:rPr>
        <w:t>余篇，深入开展理论宣讲</w:t>
      </w:r>
      <w:r>
        <w:rPr>
          <w:rFonts w:ascii="仿宋_GB2312" w:hAnsi="楷体" w:eastAsia="仿宋_GB2312" w:cs="楷体"/>
          <w:bCs/>
          <w:color w:val="000000"/>
          <w:sz w:val="32"/>
          <w:szCs w:val="32"/>
        </w:rPr>
        <w:t>462</w:t>
      </w:r>
      <w:r>
        <w:rPr>
          <w:rFonts w:hint="eastAsia" w:ascii="仿宋_GB2312" w:hAnsi="楷体" w:eastAsia="仿宋_GB2312" w:cs="楷体"/>
          <w:bCs/>
          <w:color w:val="000000"/>
          <w:sz w:val="32"/>
          <w:szCs w:val="32"/>
        </w:rPr>
        <w:t>场次。</w:t>
      </w:r>
      <w:r>
        <w:rPr>
          <w:rFonts w:hint="eastAsia" w:ascii="楷体" w:hAnsi="楷体" w:eastAsia="楷体" w:cs="楷体"/>
          <w:bCs/>
          <w:color w:val="000000"/>
          <w:sz w:val="32"/>
          <w:szCs w:val="32"/>
        </w:rPr>
        <w:t>三是积极推进理论建设和新型智库建设。</w:t>
      </w:r>
      <w:r>
        <w:rPr>
          <w:rFonts w:ascii="仿宋_GB2312" w:hAnsi="楷体" w:eastAsia="仿宋_GB2312" w:cs="楷体"/>
          <w:bCs/>
          <w:color w:val="000000"/>
          <w:sz w:val="32"/>
          <w:szCs w:val="32"/>
        </w:rPr>
        <w:t>2019</w:t>
      </w:r>
      <w:r>
        <w:rPr>
          <w:rFonts w:hint="eastAsia" w:ascii="仿宋_GB2312" w:hAnsi="楷体" w:eastAsia="仿宋_GB2312" w:cs="楷体"/>
          <w:bCs/>
          <w:color w:val="000000"/>
          <w:sz w:val="32"/>
          <w:szCs w:val="32"/>
        </w:rPr>
        <w:t>年发表论文</w:t>
      </w:r>
      <w:r>
        <w:rPr>
          <w:rFonts w:ascii="仿宋_GB2312" w:hAnsi="楷体" w:eastAsia="仿宋_GB2312" w:cs="楷体"/>
          <w:bCs/>
          <w:color w:val="000000"/>
          <w:sz w:val="32"/>
          <w:szCs w:val="32"/>
        </w:rPr>
        <w:t>303</w:t>
      </w:r>
      <w:r>
        <w:rPr>
          <w:rFonts w:hint="eastAsia" w:ascii="仿宋_GB2312" w:hAnsi="楷体" w:eastAsia="仿宋_GB2312" w:cs="楷体"/>
          <w:bCs/>
          <w:color w:val="000000"/>
          <w:sz w:val="32"/>
          <w:szCs w:val="32"/>
        </w:rPr>
        <w:t>篇，立项、结项课题</w:t>
      </w:r>
      <w:r>
        <w:rPr>
          <w:rFonts w:ascii="仿宋_GB2312" w:hAnsi="楷体" w:eastAsia="仿宋_GB2312" w:cs="楷体"/>
          <w:bCs/>
          <w:color w:val="000000"/>
          <w:sz w:val="32"/>
          <w:szCs w:val="32"/>
        </w:rPr>
        <w:t>30</w:t>
      </w:r>
      <w:r>
        <w:rPr>
          <w:rFonts w:hint="eastAsia" w:ascii="仿宋_GB2312" w:hAnsi="楷体" w:eastAsia="仿宋_GB2312" w:cs="楷体"/>
          <w:bCs/>
          <w:color w:val="000000"/>
          <w:sz w:val="32"/>
          <w:szCs w:val="32"/>
        </w:rPr>
        <w:t>项。我校首次同时荣获全国党校系统优秀科研工作组织奖和课题项目中标奖。报送咨政报告</w:t>
      </w:r>
      <w:r>
        <w:rPr>
          <w:rFonts w:ascii="仿宋_GB2312" w:hAnsi="楷体" w:eastAsia="仿宋_GB2312" w:cs="楷体"/>
          <w:bCs/>
          <w:color w:val="000000"/>
          <w:sz w:val="32"/>
          <w:szCs w:val="32"/>
        </w:rPr>
        <w:t>75</w:t>
      </w:r>
      <w:r>
        <w:rPr>
          <w:rFonts w:hint="eastAsia" w:ascii="仿宋_GB2312" w:hAnsi="楷体" w:eastAsia="仿宋_GB2312" w:cs="楷体"/>
          <w:bCs/>
          <w:color w:val="000000"/>
          <w:sz w:val="32"/>
          <w:szCs w:val="32"/>
        </w:rPr>
        <w:t>篇，获得领导批示</w:t>
      </w:r>
      <w:r>
        <w:rPr>
          <w:rFonts w:ascii="仿宋_GB2312" w:hAnsi="楷体" w:eastAsia="仿宋_GB2312" w:cs="楷体"/>
          <w:bCs/>
          <w:color w:val="000000"/>
          <w:sz w:val="32"/>
          <w:szCs w:val="32"/>
        </w:rPr>
        <w:t>32</w:t>
      </w:r>
      <w:r>
        <w:rPr>
          <w:rFonts w:hint="eastAsia" w:ascii="仿宋_GB2312" w:hAnsi="楷体" w:eastAsia="仿宋_GB2312" w:cs="楷体"/>
          <w:bCs/>
          <w:color w:val="000000"/>
          <w:sz w:val="32"/>
          <w:szCs w:val="32"/>
        </w:rPr>
        <w:t>项，咨政成效走在了全国地方党校前列。</w:t>
      </w:r>
      <w:r>
        <w:rPr>
          <w:rFonts w:ascii="仿宋_GB2312" w:hAnsi="楷体" w:eastAsia="仿宋_GB2312" w:cs="楷体"/>
          <w:bCs/>
          <w:color w:val="000000"/>
          <w:sz w:val="32"/>
          <w:szCs w:val="32"/>
        </w:rPr>
        <w:t>2019</w:t>
      </w:r>
      <w:r>
        <w:rPr>
          <w:rFonts w:hint="eastAsia" w:ascii="仿宋_GB2312" w:hAnsi="楷体" w:eastAsia="仿宋_GB2312" w:cs="楷体"/>
          <w:bCs/>
          <w:color w:val="000000"/>
          <w:sz w:val="32"/>
          <w:szCs w:val="32"/>
        </w:rPr>
        <w:t>年全市综合考核评为良好等次。</w:t>
      </w:r>
    </w:p>
    <w:p>
      <w:pPr>
        <w:spacing w:line="570" w:lineRule="exact"/>
        <w:ind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从预算资金执行情况来看，我校能够严格执行预算管理制度，资金执行进度中不存在无预算开支、超预算开支、挤占挪用、超标准配置资产等问题，项目实施计划与绩效目标保持相一致、阶段性执行结果与预期目标做到基本匹配，多项工作超额完成。资金使用符合规定用途，无违法违规使用问题。</w:t>
      </w:r>
    </w:p>
    <w:p>
      <w:pPr>
        <w:ind w:firstLine="645"/>
        <w:jc w:val="left"/>
        <w:rPr>
          <w:rFonts w:ascii="仿宋_GB2312" w:hAnsi="宋体" w:eastAsia="仿宋_GB2312" w:cs="Courier New"/>
          <w:sz w:val="32"/>
          <w:szCs w:val="32"/>
        </w:rPr>
      </w:pPr>
      <w:r>
        <w:rPr>
          <w:rFonts w:hint="eastAsia" w:ascii="仿宋_GB2312" w:hAnsi="宋体" w:eastAsia="仿宋_GB2312" w:cs="Courier New"/>
          <w:sz w:val="32"/>
          <w:szCs w:val="32"/>
        </w:rPr>
        <w:t>从绩效自评报告公开情况看。我单位根据《关于进一步推进预决算公开工作的通知》（青办发〔2016〕24号）和每年度单位绩效自评开展工作通知相关要求，在评价工作完成后20日内，于2020年7月1日，及时将绩效评价报告通过市政府政务网站公开。</w:t>
      </w:r>
    </w:p>
    <w:p>
      <w:pPr>
        <w:rPr>
          <w:rFonts w:ascii="仿宋_GB2312" w:hAnsi="宋体" w:eastAsia="仿宋_GB2312" w:cs="Courier New"/>
          <w:sz w:val="32"/>
          <w:szCs w:val="3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p>
    <w:p>
      <w:pPr>
        <w:rPr>
          <w:rFonts w:ascii="黑体" w:eastAsia="黑体"/>
          <w:sz w:val="52"/>
          <w:szCs w:val="52"/>
        </w:rPr>
      </w:pPr>
      <w:r>
        <w:rPr>
          <w:rFonts w:hint="eastAsia" w:ascii="黑体" w:eastAsia="黑体"/>
          <w:sz w:val="52"/>
          <w:szCs w:val="52"/>
        </w:rPr>
        <w:t>第四部分</w:t>
      </w:r>
    </w:p>
    <w:p>
      <w:pPr>
        <w:rPr>
          <w:rFonts w:ascii="黑体" w:eastAsia="黑体"/>
          <w:sz w:val="52"/>
          <w:szCs w:val="52"/>
        </w:rPr>
      </w:pPr>
    </w:p>
    <w:p>
      <w:pPr>
        <w:rPr>
          <w:rFonts w:ascii="黑体" w:eastAsia="黑体"/>
          <w:sz w:val="52"/>
          <w:szCs w:val="52"/>
        </w:rPr>
      </w:pPr>
    </w:p>
    <w:p>
      <w:pPr>
        <w:rPr>
          <w:rFonts w:ascii="黑体" w:eastAsia="黑体"/>
          <w:sz w:val="52"/>
          <w:szCs w:val="52"/>
        </w:rPr>
      </w:pPr>
    </w:p>
    <w:p>
      <w:pPr>
        <w:jc w:val="center"/>
        <w:rPr>
          <w:rFonts w:ascii="黑体" w:eastAsia="黑体"/>
          <w:sz w:val="52"/>
          <w:szCs w:val="52"/>
        </w:rPr>
      </w:pPr>
      <w:r>
        <w:rPr>
          <w:rFonts w:hint="eastAsia" w:ascii="黑体" w:eastAsia="黑体"/>
          <w:sz w:val="52"/>
          <w:szCs w:val="52"/>
        </w:rPr>
        <w:t>名词解释</w:t>
      </w: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rPr>
          <w:rFonts w:ascii="黑体" w:eastAsia="黑体"/>
          <w:b/>
          <w:sz w:val="30"/>
          <w:szCs w:val="30"/>
        </w:rPr>
      </w:pPr>
    </w:p>
    <w:p>
      <w:pPr>
        <w:spacing w:line="580" w:lineRule="exact"/>
        <w:ind w:firstLine="600"/>
        <w:rPr>
          <w:rFonts w:eastAsia="仿宋_GB2312"/>
          <w:sz w:val="32"/>
          <w:szCs w:val="32"/>
        </w:rPr>
      </w:pPr>
      <w:r>
        <w:rPr>
          <w:rFonts w:hint="eastAsia" w:ascii="黑体" w:hAnsi="黑体" w:eastAsia="黑体"/>
          <w:color w:val="000000"/>
          <w:sz w:val="32"/>
          <w:szCs w:val="32"/>
        </w:rPr>
        <w:t>一、财政拨款收入：</w:t>
      </w:r>
      <w:r>
        <w:rPr>
          <w:rFonts w:hint="eastAsia" w:ascii="仿宋_GB2312" w:eastAsia="仿宋_GB2312"/>
          <w:sz w:val="32"/>
          <w:szCs w:val="32"/>
        </w:rPr>
        <w:t>指单位本年度从同级财政部门取得的财政拨款。按现行管理制度，部门决算中反映的财政拨款包括一般公共预算财政拨款和政府性基金财政拨款。</w:t>
      </w:r>
    </w:p>
    <w:p>
      <w:pPr>
        <w:spacing w:line="580" w:lineRule="exact"/>
        <w:ind w:firstLine="640" w:firstLineChars="200"/>
        <w:rPr>
          <w:rFonts w:ascii="仿宋_GB2312" w:hAnsi="仿宋" w:eastAsia="仿宋_GB2312"/>
          <w:sz w:val="32"/>
          <w:szCs w:val="32"/>
        </w:rPr>
      </w:pPr>
      <w:r>
        <w:rPr>
          <w:rFonts w:hint="eastAsia" w:ascii="黑体" w:hAnsi="黑体" w:eastAsia="黑体"/>
          <w:sz w:val="32"/>
          <w:szCs w:val="32"/>
        </w:rPr>
        <w:t>二、上级补助收入：</w:t>
      </w:r>
      <w:r>
        <w:rPr>
          <w:rFonts w:hint="eastAsia" w:ascii="仿宋_GB2312" w:hAnsi="仿宋" w:eastAsia="仿宋_GB2312"/>
          <w:sz w:val="32"/>
          <w:szCs w:val="32"/>
        </w:rPr>
        <w:t>指事业单位从主管部门和上级单位取得的非财政补助收入。</w:t>
      </w:r>
    </w:p>
    <w:p>
      <w:pPr>
        <w:spacing w:line="580" w:lineRule="exact"/>
        <w:ind w:firstLine="600"/>
        <w:rPr>
          <w:rFonts w:ascii="仿宋_GB2312" w:hAnsi="仿宋" w:eastAsia="仿宋_GB2312"/>
          <w:sz w:val="32"/>
          <w:szCs w:val="32"/>
        </w:rPr>
      </w:pPr>
      <w:r>
        <w:rPr>
          <w:rFonts w:hint="eastAsia" w:ascii="黑体" w:hAnsi="黑体" w:eastAsia="黑体"/>
          <w:sz w:val="32"/>
          <w:szCs w:val="32"/>
        </w:rPr>
        <w:t>三、事业收入：</w:t>
      </w:r>
      <w:r>
        <w:rPr>
          <w:rFonts w:hint="eastAsia" w:ascii="仿宋_GB2312" w:hAnsi="仿宋" w:eastAsia="仿宋_GB2312"/>
          <w:sz w:val="32"/>
          <w:szCs w:val="32"/>
        </w:rPr>
        <w:t>指事业单位开展专业业务活动及其辅助活动取得的收入。包括事业单位收到的财政专户实际核拨的教育收费等。本单位开展对外教育培训活动取得的培训收费等。</w:t>
      </w:r>
    </w:p>
    <w:p>
      <w:pPr>
        <w:spacing w:line="580" w:lineRule="exact"/>
        <w:ind w:firstLine="600"/>
        <w:rPr>
          <w:rFonts w:ascii="仿宋_GB2312" w:eastAsia="仿宋_GB2312"/>
          <w:sz w:val="32"/>
          <w:szCs w:val="32"/>
        </w:rPr>
      </w:pPr>
      <w:r>
        <w:rPr>
          <w:rFonts w:hint="eastAsia" w:ascii="黑体" w:hAnsi="黑体" w:eastAsia="黑体"/>
          <w:sz w:val="32"/>
          <w:szCs w:val="32"/>
        </w:rPr>
        <w:t>四、经营收入：</w:t>
      </w:r>
      <w:r>
        <w:rPr>
          <w:rFonts w:hint="eastAsia" w:ascii="仿宋_GB2312" w:hAnsi="仿宋" w:eastAsia="仿宋_GB2312"/>
          <w:sz w:val="32"/>
          <w:szCs w:val="32"/>
        </w:rPr>
        <w:t>指事业单位在专业业务活动及其辅助活动之外开展非独立核算经营活动取得的收入。</w:t>
      </w:r>
      <w:r>
        <w:rPr>
          <w:rFonts w:hint="eastAsia" w:ascii="仿宋_GB2312" w:eastAsia="仿宋_GB2312"/>
          <w:sz w:val="32"/>
          <w:szCs w:val="32"/>
        </w:rPr>
        <w:t xml:space="preserve"> </w:t>
      </w:r>
    </w:p>
    <w:p>
      <w:pPr>
        <w:spacing w:line="580" w:lineRule="exact"/>
        <w:ind w:firstLine="640" w:firstLineChars="200"/>
        <w:rPr>
          <w:rFonts w:ascii="仿宋_GB2312" w:hAnsi="仿宋" w:eastAsia="仿宋_GB2312"/>
          <w:sz w:val="32"/>
          <w:szCs w:val="32"/>
        </w:rPr>
      </w:pPr>
      <w:r>
        <w:rPr>
          <w:rFonts w:hint="eastAsia" w:ascii="黑体" w:hAnsi="黑体" w:eastAsia="黑体"/>
          <w:sz w:val="32"/>
          <w:szCs w:val="32"/>
        </w:rPr>
        <w:t>五、附属单位上缴收入：</w:t>
      </w:r>
      <w:r>
        <w:rPr>
          <w:rFonts w:hint="eastAsia" w:ascii="仿宋_GB2312" w:hAnsi="仿宋" w:eastAsia="仿宋_GB2312"/>
          <w:sz w:val="32"/>
          <w:szCs w:val="32"/>
        </w:rPr>
        <w:t>指事业单位附属独立核算单位按照有关规定上缴的收入。</w:t>
      </w:r>
    </w:p>
    <w:p>
      <w:pPr>
        <w:spacing w:line="580" w:lineRule="exact"/>
        <w:ind w:firstLine="640" w:firstLineChars="200"/>
        <w:rPr>
          <w:rFonts w:ascii="仿宋_GB2312" w:hAnsi="仿宋" w:eastAsia="仿宋_GB2312"/>
          <w:sz w:val="32"/>
          <w:szCs w:val="32"/>
        </w:rPr>
      </w:pPr>
      <w:r>
        <w:rPr>
          <w:rFonts w:hint="eastAsia" w:ascii="黑体" w:hAnsi="黑体" w:eastAsia="黑体"/>
          <w:sz w:val="32"/>
          <w:szCs w:val="32"/>
        </w:rPr>
        <w:t>六、其他收入：</w:t>
      </w:r>
      <w:r>
        <w:rPr>
          <w:rFonts w:hint="eastAsia" w:ascii="仿宋_GB2312" w:hAnsi="仿宋" w:eastAsia="仿宋_GB2312"/>
          <w:sz w:val="32"/>
          <w:szCs w:val="32"/>
        </w:rPr>
        <w:t>指单位取得的除上述“</w:t>
      </w:r>
      <w:r>
        <w:rPr>
          <w:rFonts w:hint="eastAsia" w:eastAsia="仿宋_GB2312"/>
          <w:sz w:val="32"/>
          <w:szCs w:val="32"/>
        </w:rPr>
        <w:t>财政拨款收入</w:t>
      </w:r>
      <w:r>
        <w:rPr>
          <w:rFonts w:hint="eastAsia" w:ascii="仿宋_GB2312" w:hAnsi="仿宋" w:eastAsia="仿宋_GB2312"/>
          <w:sz w:val="32"/>
          <w:szCs w:val="32"/>
        </w:rPr>
        <w:t>”、“上级补助收入”、“事业收入”、“经营收入”、“附属单位上缴收入”等以外的各项收入。</w:t>
      </w:r>
    </w:p>
    <w:p>
      <w:pPr>
        <w:spacing w:line="580" w:lineRule="exact"/>
        <w:ind w:firstLine="600"/>
        <w:rPr>
          <w:rFonts w:ascii="仿宋_GB2312" w:eastAsia="仿宋_GB2312"/>
          <w:sz w:val="32"/>
          <w:szCs w:val="32"/>
        </w:rPr>
      </w:pPr>
      <w:r>
        <w:rPr>
          <w:rFonts w:hint="eastAsia" w:ascii="黑体" w:hAnsi="黑体" w:eastAsia="黑体"/>
          <w:sz w:val="32"/>
          <w:szCs w:val="32"/>
        </w:rPr>
        <w:t>七、用事业基金弥补收支差额：</w:t>
      </w:r>
      <w:r>
        <w:rPr>
          <w:rFonts w:hint="eastAsia" w:ascii="仿宋_GB2312" w:eastAsia="仿宋_GB2312"/>
          <w:sz w:val="32"/>
          <w:szCs w:val="32"/>
        </w:rPr>
        <w:t>指事业单位在用本年的“财政拨款收入”“事业收入”“经营收入”“其他收入”等不足以安排当年支出的情况下，使用以前年度积累的事业基金（事业单位当年收支相抵后按国家规定提取、用于弥补以后年度收支差额的基金）弥补本年度收支缺口的资金。指事业单位动用非财政拨款结余弥补收支差额的金额。</w:t>
      </w:r>
    </w:p>
    <w:p>
      <w:pPr>
        <w:spacing w:line="580" w:lineRule="exact"/>
        <w:ind w:firstLine="600"/>
        <w:rPr>
          <w:rFonts w:ascii="仿宋_GB2312" w:eastAsia="仿宋_GB2312"/>
          <w:sz w:val="32"/>
          <w:szCs w:val="32"/>
        </w:rPr>
      </w:pPr>
      <w:r>
        <w:rPr>
          <w:rFonts w:hint="eastAsia" w:ascii="黑体" w:hAnsi="黑体" w:eastAsia="黑体"/>
          <w:sz w:val="32"/>
          <w:szCs w:val="32"/>
        </w:rPr>
        <w:t>八、年初结转和结余：</w:t>
      </w:r>
      <w:r>
        <w:rPr>
          <w:rFonts w:hint="eastAsia" w:ascii="仿宋_GB2312" w:eastAsia="仿宋_GB2312"/>
          <w:sz w:val="32"/>
          <w:szCs w:val="32"/>
        </w:rPr>
        <w:t>指以前年度尚未完成、结转到本年仍按原规定用途继续使用的资金，或项目已完成等产生的结余资金。</w:t>
      </w:r>
    </w:p>
    <w:p>
      <w:pPr>
        <w:spacing w:line="580" w:lineRule="exact"/>
        <w:ind w:firstLine="640" w:firstLineChars="200"/>
        <w:rPr>
          <w:rFonts w:ascii="仿宋_GB2312" w:hAnsi="仿宋" w:eastAsia="仿宋_GB2312"/>
          <w:sz w:val="32"/>
          <w:szCs w:val="32"/>
        </w:rPr>
      </w:pPr>
      <w:r>
        <w:rPr>
          <w:rFonts w:hint="eastAsia" w:ascii="黑体" w:hAnsi="黑体" w:eastAsia="黑体"/>
          <w:sz w:val="32"/>
          <w:szCs w:val="32"/>
        </w:rPr>
        <w:t>九、结余分配：</w:t>
      </w:r>
      <w:r>
        <w:rPr>
          <w:rFonts w:hint="eastAsia" w:ascii="仿宋_GB2312" w:hAnsi="仿宋" w:eastAsia="仿宋_GB2312"/>
          <w:sz w:val="32"/>
          <w:szCs w:val="32"/>
        </w:rPr>
        <w:t>指事业单位按照会计制度规定缴纳的所得税以及从非财政拨款结余或经营结余中提取的各类基金。</w:t>
      </w:r>
    </w:p>
    <w:p>
      <w:pPr>
        <w:spacing w:line="580" w:lineRule="exact"/>
        <w:ind w:firstLine="640" w:firstLineChars="200"/>
        <w:rPr>
          <w:rFonts w:ascii="仿宋_GB2312" w:hAnsi="仿宋" w:eastAsia="仿宋_GB2312"/>
          <w:sz w:val="32"/>
          <w:szCs w:val="32"/>
        </w:rPr>
      </w:pPr>
      <w:r>
        <w:rPr>
          <w:rFonts w:hint="eastAsia" w:ascii="黑体" w:hAnsi="黑体" w:eastAsia="黑体"/>
          <w:sz w:val="32"/>
          <w:szCs w:val="32"/>
        </w:rPr>
        <w:t>十、年末结转和结余：</w:t>
      </w:r>
      <w:r>
        <w:rPr>
          <w:rFonts w:hint="eastAsia" w:ascii="仿宋_GB2312" w:hAnsi="仿宋" w:eastAsia="仿宋_GB2312"/>
          <w:sz w:val="32"/>
          <w:szCs w:val="32"/>
        </w:rPr>
        <w:t>指单位按照有关规定结转到下年继续使用的资金，或项目已完成等产生的结余资金。</w:t>
      </w:r>
    </w:p>
    <w:p>
      <w:pPr>
        <w:spacing w:line="580" w:lineRule="exact"/>
        <w:ind w:firstLine="600"/>
        <w:rPr>
          <w:rFonts w:ascii="仿宋_GB2312" w:eastAsia="仿宋_GB2312"/>
          <w:sz w:val="32"/>
          <w:szCs w:val="32"/>
        </w:rPr>
      </w:pPr>
      <w:r>
        <w:rPr>
          <w:rFonts w:hint="eastAsia" w:ascii="黑体" w:hAnsi="黑体" w:eastAsia="黑体"/>
          <w:sz w:val="32"/>
          <w:szCs w:val="32"/>
        </w:rPr>
        <w:t>十一、基本支出：</w:t>
      </w:r>
      <w:r>
        <w:rPr>
          <w:rFonts w:hint="eastAsia" w:ascii="仿宋_GB2312" w:eastAsia="仿宋_GB2312"/>
          <w:sz w:val="32"/>
          <w:szCs w:val="32"/>
        </w:rPr>
        <w:t>指单位为保障其机构正常运转、完成日常工作任务而发生人员支出和日常公用支出。</w:t>
      </w:r>
    </w:p>
    <w:p>
      <w:pPr>
        <w:spacing w:line="580" w:lineRule="exact"/>
        <w:ind w:firstLine="600"/>
        <w:rPr>
          <w:rFonts w:ascii="仿宋_GB2312" w:eastAsia="仿宋_GB2312"/>
          <w:sz w:val="32"/>
          <w:szCs w:val="32"/>
        </w:rPr>
      </w:pPr>
      <w:r>
        <w:rPr>
          <w:rFonts w:hint="eastAsia" w:ascii="黑体" w:hAnsi="黑体" w:eastAsia="黑体"/>
          <w:sz w:val="32"/>
          <w:szCs w:val="32"/>
        </w:rPr>
        <w:t>十二、项目支出：</w:t>
      </w:r>
      <w:r>
        <w:rPr>
          <w:rFonts w:hint="eastAsia" w:ascii="仿宋_GB2312" w:eastAsia="仿宋_GB2312"/>
          <w:sz w:val="32"/>
          <w:szCs w:val="32"/>
        </w:rPr>
        <w:t>指单位在基本支出之外为完成特定的工作任务或事业发展目标所发生的支出。</w:t>
      </w:r>
    </w:p>
    <w:p>
      <w:pPr>
        <w:spacing w:line="580" w:lineRule="exact"/>
        <w:rPr>
          <w:rFonts w:ascii="仿宋_GB2312" w:eastAsia="仿宋_GB2312"/>
          <w:sz w:val="32"/>
          <w:szCs w:val="32"/>
        </w:rPr>
      </w:pPr>
      <w:r>
        <w:rPr>
          <w:rFonts w:hint="eastAsia" w:ascii="仿宋_GB2312" w:eastAsia="仿宋_GB2312"/>
          <w:sz w:val="32"/>
          <w:szCs w:val="32"/>
        </w:rPr>
        <w:t xml:space="preserve">    </w:t>
      </w:r>
      <w:r>
        <w:rPr>
          <w:rFonts w:hint="eastAsia" w:ascii="黑体" w:hAnsi="黑体" w:eastAsia="黑体"/>
          <w:sz w:val="32"/>
          <w:szCs w:val="32"/>
        </w:rPr>
        <w:t>十三、经营支出：</w:t>
      </w:r>
      <w:r>
        <w:rPr>
          <w:rFonts w:hint="eastAsia" w:ascii="仿宋_GB2312" w:eastAsia="仿宋_GB2312"/>
          <w:sz w:val="32"/>
          <w:szCs w:val="32"/>
        </w:rPr>
        <w:t>指事业单位在专业业务活动及其辅助活动之外开展非独立核算经营活动发生的支出。</w:t>
      </w:r>
    </w:p>
    <w:p>
      <w:pPr>
        <w:spacing w:line="580" w:lineRule="exact"/>
        <w:ind w:firstLine="600"/>
        <w:rPr>
          <w:rFonts w:ascii="仿宋_GB2312" w:eastAsia="仿宋_GB2312"/>
          <w:sz w:val="32"/>
          <w:szCs w:val="32"/>
        </w:rPr>
      </w:pPr>
      <w:r>
        <w:rPr>
          <w:rFonts w:hint="eastAsia" w:ascii="黑体" w:hAnsi="黑体" w:eastAsia="黑体"/>
          <w:sz w:val="32"/>
          <w:szCs w:val="32"/>
        </w:rPr>
        <w:t>十四、“三公”经费：</w:t>
      </w:r>
      <w:r>
        <w:rPr>
          <w:rFonts w:hint="eastAsia" w:ascii="仿宋_GB2312" w:eastAsia="仿宋_GB2312"/>
          <w:sz w:val="32"/>
          <w:szCs w:val="32"/>
        </w:rPr>
        <w:t>纳入市级财政预决算管理的“三公”经费，是指市级部门用财政拨款安排的因公出国（境）费用、公务用车购置及运行费和公务接待费。其中，因公出国（境）费用反映单位公务出国（境）的国际旅费、国外城市间交通费、住宿费、伙食费、培训费、公杂费等支出；公务用车购置及运行费反映单位公务用车购置费（含车辆购置税）及按规定保留的公务用车燃料费、维修费、过路过桥费、保险费等支出；公务接待费反映单位按规定开支的各类公务接待（含外宾接待）支出。</w:t>
      </w:r>
    </w:p>
    <w:p>
      <w:pPr>
        <w:ind w:firstLine="640" w:firstLineChars="200"/>
        <w:rPr>
          <w:rFonts w:ascii="仿宋_GB2312" w:eastAsia="仿宋_GB2312"/>
          <w:sz w:val="32"/>
          <w:szCs w:val="32"/>
        </w:rPr>
      </w:pPr>
      <w:r>
        <w:rPr>
          <w:rFonts w:hint="eastAsia" w:ascii="黑体" w:hAnsi="黑体" w:eastAsia="黑体"/>
          <w:sz w:val="32"/>
          <w:szCs w:val="32"/>
        </w:rPr>
        <w:t>十五、机关运行经费：</w:t>
      </w:r>
      <w:r>
        <w:rPr>
          <w:rFonts w:hint="eastAsia" w:ascii="仿宋_GB2312" w:eastAsia="仿宋_GB2312"/>
          <w:sz w:val="32"/>
          <w:szCs w:val="32"/>
        </w:rPr>
        <w:t>为保障行政单位(含参照公务员法管理的事业单位)运行用于购买货物和服务的各项资金，包括包括办公及印刷费、邮电费、差旅费、会议费、福利费、日常维修费、专用材料及一般设备购置费、办公用房水电费、办公用房取暖费、办公用房物业管理费、公务用车运行维护费以及其他费用。</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十六、一般公共服务（类）其他一般公共服务支出（款）其他一般公共服务支出（项）：</w:t>
      </w:r>
      <w:r>
        <w:rPr>
          <w:rFonts w:hint="eastAsia" w:ascii="仿宋_GB2312" w:eastAsia="仿宋_GB2312"/>
          <w:sz w:val="32"/>
          <w:szCs w:val="32"/>
        </w:rPr>
        <w:t>反映其他一般公共服务支出。</w:t>
      </w:r>
    </w:p>
    <w:p>
      <w:pPr>
        <w:spacing w:line="580" w:lineRule="exact"/>
        <w:ind w:firstLine="600"/>
        <w:rPr>
          <w:rFonts w:ascii="仿宋_GB2312" w:eastAsia="仿宋_GB2312"/>
          <w:sz w:val="32"/>
          <w:szCs w:val="32"/>
        </w:rPr>
      </w:pPr>
      <w:r>
        <w:rPr>
          <w:rFonts w:hint="eastAsia" w:ascii="黑体" w:hAnsi="黑体" w:eastAsia="黑体"/>
          <w:sz w:val="32"/>
          <w:szCs w:val="32"/>
        </w:rPr>
        <w:t>十七、教育支出（类）进修及培训（款）干部教育（项）：</w:t>
      </w:r>
      <w:r>
        <w:rPr>
          <w:rFonts w:hint="eastAsia" w:ascii="仿宋_GB2312" w:eastAsia="仿宋_GB2312"/>
          <w:sz w:val="32"/>
          <w:szCs w:val="32"/>
        </w:rPr>
        <w:t>反映各级党校、行政学院、社会主义学院、国家会计学院的支出。包括机构运转、招聘师资、举办各类培训班的支出等。</w:t>
      </w:r>
    </w:p>
    <w:p>
      <w:pPr>
        <w:spacing w:line="580" w:lineRule="exact"/>
        <w:ind w:firstLine="600"/>
        <w:rPr>
          <w:rFonts w:ascii="黑体" w:hAnsi="黑体" w:eastAsia="黑体"/>
          <w:sz w:val="32"/>
          <w:szCs w:val="32"/>
        </w:rPr>
      </w:pPr>
      <w:r>
        <w:rPr>
          <w:rFonts w:hint="eastAsia" w:ascii="黑体" w:hAnsi="黑体" w:eastAsia="黑体"/>
          <w:sz w:val="32"/>
          <w:szCs w:val="32"/>
        </w:rPr>
        <w:t>十八、科学技术支出（类）技术研究与开发（款）技术研究与开发（项）：</w:t>
      </w:r>
      <w:r>
        <w:rPr>
          <w:rFonts w:hint="eastAsia" w:ascii="仿宋_GB2312" w:eastAsia="仿宋_GB2312"/>
          <w:sz w:val="32"/>
          <w:szCs w:val="32"/>
        </w:rPr>
        <w:t xml:space="preserve">反映从事技术开发研究和近期可望取得实用价值的专项技术开发研究的支出。 </w:t>
      </w:r>
    </w:p>
    <w:p>
      <w:pPr>
        <w:spacing w:line="580" w:lineRule="exact"/>
        <w:ind w:firstLine="600"/>
        <w:rPr>
          <w:rFonts w:ascii="仿宋_GB2312" w:eastAsia="仿宋_GB2312"/>
          <w:sz w:val="32"/>
          <w:szCs w:val="32"/>
        </w:rPr>
      </w:pPr>
      <w:r>
        <w:rPr>
          <w:rFonts w:hint="eastAsia" w:ascii="黑体" w:hAnsi="黑体" w:eastAsia="黑体"/>
          <w:sz w:val="32"/>
          <w:szCs w:val="32"/>
        </w:rPr>
        <w:t>十九、社会保障和就业支出（类）行政事业单位离退休（款）机关事业单位基本养老保险缴费支出（项）：</w:t>
      </w:r>
      <w:r>
        <w:rPr>
          <w:rFonts w:hint="eastAsia" w:ascii="仿宋_GB2312" w:eastAsia="仿宋_GB2312"/>
          <w:sz w:val="32"/>
          <w:szCs w:val="32"/>
        </w:rPr>
        <w:t>反映机关事业单位实施养老保险制度有单位缴纳的基本养老保险费支出。</w:t>
      </w:r>
    </w:p>
    <w:p>
      <w:pPr>
        <w:spacing w:line="580" w:lineRule="exact"/>
        <w:ind w:firstLine="600"/>
        <w:rPr>
          <w:rFonts w:ascii="仿宋_GB2312" w:eastAsia="仿宋_GB2312"/>
          <w:sz w:val="32"/>
          <w:szCs w:val="32"/>
        </w:rPr>
      </w:pPr>
      <w:r>
        <w:rPr>
          <w:rFonts w:hint="eastAsia" w:ascii="黑体" w:hAnsi="黑体" w:eastAsia="黑体"/>
          <w:sz w:val="32"/>
          <w:szCs w:val="32"/>
        </w:rPr>
        <w:t>二十、</w:t>
      </w:r>
      <w:r>
        <w:rPr>
          <w:rFonts w:ascii="黑体" w:hAnsi="黑体" w:eastAsia="黑体"/>
          <w:sz w:val="32"/>
          <w:szCs w:val="32"/>
        </w:rPr>
        <w:t>住房保障支出（类）住房改革支出（款）</w:t>
      </w:r>
      <w:r>
        <w:rPr>
          <w:rFonts w:hint="eastAsia" w:ascii="黑体" w:hAnsi="黑体" w:eastAsia="黑体"/>
          <w:sz w:val="32"/>
          <w:szCs w:val="32"/>
        </w:rPr>
        <w:t>住房公积金（项）</w:t>
      </w:r>
      <w:r>
        <w:rPr>
          <w:rFonts w:ascii="黑体" w:hAnsi="黑体" w:eastAsia="黑体"/>
          <w:sz w:val="32"/>
          <w:szCs w:val="32"/>
        </w:rPr>
        <w:t>：</w:t>
      </w:r>
      <w:r>
        <w:rPr>
          <w:rFonts w:hint="eastAsia" w:ascii="仿宋_GB2312" w:eastAsia="仿宋_GB2312"/>
          <w:sz w:val="32"/>
          <w:szCs w:val="32"/>
        </w:rPr>
        <w:t>反映行政事业单位按人力资源和社会保障部、财政部规定的基本工资和津贴补贴以及规定比例为职工缴纳的住房公积金。</w:t>
      </w:r>
    </w:p>
    <w:p>
      <w:pPr>
        <w:spacing w:line="580" w:lineRule="exact"/>
        <w:ind w:firstLine="642" w:firstLineChars="200"/>
        <w:rPr>
          <w:rFonts w:ascii="仿宋_GB2312" w:eastAsia="仿宋_GB2312"/>
          <w:b/>
          <w:sz w:val="32"/>
          <w:szCs w:val="32"/>
        </w:rPr>
      </w:pPr>
    </w:p>
    <w:p>
      <w:pPr>
        <w:spacing w:line="580" w:lineRule="exact"/>
      </w:pPr>
    </w:p>
    <w:sectPr>
      <w:footerReference r:id="rId5" w:type="default"/>
      <w:footerReference r:id="rId6" w:type="even"/>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000101FF" w:csb1="00000000"/>
  </w:font>
  <w:font w:name="Verdana">
    <w:altName w:val="Ubuntu"/>
    <w:panose1 w:val="020B0604030504040204"/>
    <w:charset w:val="00"/>
    <w:family w:val="swiss"/>
    <w:pitch w:val="default"/>
    <w:sig w:usb0="00000000" w:usb1="00000000" w:usb2="00000010" w:usb3="00000000" w:csb0="0000019F" w:csb1="00000000"/>
  </w:font>
  <w:font w:name="仿宋_GB2312">
    <w:panose1 w:val="02010609030101010101"/>
    <w:charset w:val="86"/>
    <w:family w:val="modern"/>
    <w:pitch w:val="default"/>
    <w:sig w:usb0="00000001" w:usb1="080E0000" w:usb2="00000000" w:usb3="00000000" w:csb0="00040000" w:csb1="00000000"/>
  </w:font>
  <w:font w:name="文星简大标宋">
    <w:altName w:val="微软雅黑"/>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ourier New">
    <w:altName w:val="DejaVu Sans"/>
    <w:panose1 w:val="02070309020205020404"/>
    <w:charset w:val="00"/>
    <w:family w:val="modern"/>
    <w:pitch w:val="default"/>
    <w:sig w:usb0="00000000" w:usb1="00000000" w:usb2="00000009" w:usb3="00000000" w:csb0="0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altName w:val="Times New Roman"/>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14</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- 29 -</w:t>
    </w:r>
    <w: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91176F"/>
    <w:multiLevelType w:val="multilevel"/>
    <w:tmpl w:val="4891176F"/>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77C"/>
    <w:rsid w:val="00003283"/>
    <w:rsid w:val="000037A0"/>
    <w:rsid w:val="00007DC9"/>
    <w:rsid w:val="00010FE6"/>
    <w:rsid w:val="00013228"/>
    <w:rsid w:val="00016478"/>
    <w:rsid w:val="00017BE6"/>
    <w:rsid w:val="00021595"/>
    <w:rsid w:val="000217B6"/>
    <w:rsid w:val="00023ACF"/>
    <w:rsid w:val="000256DB"/>
    <w:rsid w:val="000262D1"/>
    <w:rsid w:val="00031E72"/>
    <w:rsid w:val="00031FDC"/>
    <w:rsid w:val="000348C2"/>
    <w:rsid w:val="000368B1"/>
    <w:rsid w:val="00037B20"/>
    <w:rsid w:val="00040B20"/>
    <w:rsid w:val="00044DCC"/>
    <w:rsid w:val="00045A58"/>
    <w:rsid w:val="00046A75"/>
    <w:rsid w:val="00047478"/>
    <w:rsid w:val="00047D02"/>
    <w:rsid w:val="00053C6A"/>
    <w:rsid w:val="00057D1D"/>
    <w:rsid w:val="000679A9"/>
    <w:rsid w:val="00072AD9"/>
    <w:rsid w:val="00073CBC"/>
    <w:rsid w:val="00074D65"/>
    <w:rsid w:val="00076E25"/>
    <w:rsid w:val="00077098"/>
    <w:rsid w:val="0008135F"/>
    <w:rsid w:val="00082097"/>
    <w:rsid w:val="00087607"/>
    <w:rsid w:val="00090C14"/>
    <w:rsid w:val="00094A34"/>
    <w:rsid w:val="000A0D90"/>
    <w:rsid w:val="000A2755"/>
    <w:rsid w:val="000A32E5"/>
    <w:rsid w:val="000A7E71"/>
    <w:rsid w:val="000B0216"/>
    <w:rsid w:val="000B02E0"/>
    <w:rsid w:val="000B1330"/>
    <w:rsid w:val="000B7F17"/>
    <w:rsid w:val="000C74E1"/>
    <w:rsid w:val="000D0803"/>
    <w:rsid w:val="000D1878"/>
    <w:rsid w:val="000D31C7"/>
    <w:rsid w:val="000D5383"/>
    <w:rsid w:val="000D7B27"/>
    <w:rsid w:val="000E2130"/>
    <w:rsid w:val="000E37E6"/>
    <w:rsid w:val="000E41B0"/>
    <w:rsid w:val="000E4536"/>
    <w:rsid w:val="000E5E12"/>
    <w:rsid w:val="000E76A2"/>
    <w:rsid w:val="000F0E2C"/>
    <w:rsid w:val="000F2160"/>
    <w:rsid w:val="000F2903"/>
    <w:rsid w:val="000F406F"/>
    <w:rsid w:val="000F6B1F"/>
    <w:rsid w:val="000F75A5"/>
    <w:rsid w:val="00102DF0"/>
    <w:rsid w:val="00107432"/>
    <w:rsid w:val="00110214"/>
    <w:rsid w:val="00111472"/>
    <w:rsid w:val="001149AF"/>
    <w:rsid w:val="00114AFE"/>
    <w:rsid w:val="00115F31"/>
    <w:rsid w:val="00117FD5"/>
    <w:rsid w:val="001247D3"/>
    <w:rsid w:val="0012556E"/>
    <w:rsid w:val="00125BFB"/>
    <w:rsid w:val="0013247D"/>
    <w:rsid w:val="00133784"/>
    <w:rsid w:val="0013508F"/>
    <w:rsid w:val="00142984"/>
    <w:rsid w:val="0014481D"/>
    <w:rsid w:val="00150FDD"/>
    <w:rsid w:val="00151B4A"/>
    <w:rsid w:val="0015319D"/>
    <w:rsid w:val="00155BA2"/>
    <w:rsid w:val="00156AAA"/>
    <w:rsid w:val="0015766C"/>
    <w:rsid w:val="0016083B"/>
    <w:rsid w:val="0016381D"/>
    <w:rsid w:val="00167985"/>
    <w:rsid w:val="00167F6E"/>
    <w:rsid w:val="00170067"/>
    <w:rsid w:val="00170426"/>
    <w:rsid w:val="0017132B"/>
    <w:rsid w:val="00172A27"/>
    <w:rsid w:val="001776CE"/>
    <w:rsid w:val="001823F0"/>
    <w:rsid w:val="00184019"/>
    <w:rsid w:val="00186D80"/>
    <w:rsid w:val="00187A01"/>
    <w:rsid w:val="0019244E"/>
    <w:rsid w:val="00194D97"/>
    <w:rsid w:val="00195E4A"/>
    <w:rsid w:val="001961AE"/>
    <w:rsid w:val="001A0EBF"/>
    <w:rsid w:val="001A1028"/>
    <w:rsid w:val="001B062F"/>
    <w:rsid w:val="001B293E"/>
    <w:rsid w:val="001B2B4D"/>
    <w:rsid w:val="001B60EA"/>
    <w:rsid w:val="001B65A9"/>
    <w:rsid w:val="001C37EC"/>
    <w:rsid w:val="001C444B"/>
    <w:rsid w:val="001C4754"/>
    <w:rsid w:val="001C5454"/>
    <w:rsid w:val="001C5FD0"/>
    <w:rsid w:val="001C6FF9"/>
    <w:rsid w:val="001C7171"/>
    <w:rsid w:val="001D09B8"/>
    <w:rsid w:val="001D1089"/>
    <w:rsid w:val="001D197E"/>
    <w:rsid w:val="001D5334"/>
    <w:rsid w:val="001D637E"/>
    <w:rsid w:val="001E1750"/>
    <w:rsid w:val="001E24D4"/>
    <w:rsid w:val="001E24EC"/>
    <w:rsid w:val="001E4025"/>
    <w:rsid w:val="001E457C"/>
    <w:rsid w:val="001F0816"/>
    <w:rsid w:val="001F65C5"/>
    <w:rsid w:val="001F789E"/>
    <w:rsid w:val="002022B9"/>
    <w:rsid w:val="0020598C"/>
    <w:rsid w:val="00210B61"/>
    <w:rsid w:val="002111EE"/>
    <w:rsid w:val="0021146E"/>
    <w:rsid w:val="00211F82"/>
    <w:rsid w:val="002121EE"/>
    <w:rsid w:val="002122D4"/>
    <w:rsid w:val="002139C7"/>
    <w:rsid w:val="00213DC0"/>
    <w:rsid w:val="00221DFE"/>
    <w:rsid w:val="002233D4"/>
    <w:rsid w:val="00224A07"/>
    <w:rsid w:val="00226C5A"/>
    <w:rsid w:val="002270C1"/>
    <w:rsid w:val="00231B86"/>
    <w:rsid w:val="00231EBE"/>
    <w:rsid w:val="00232600"/>
    <w:rsid w:val="00232FE3"/>
    <w:rsid w:val="0024268A"/>
    <w:rsid w:val="00243AF3"/>
    <w:rsid w:val="00253115"/>
    <w:rsid w:val="0026303E"/>
    <w:rsid w:val="00263EE2"/>
    <w:rsid w:val="00265A3A"/>
    <w:rsid w:val="002661EC"/>
    <w:rsid w:val="002669B6"/>
    <w:rsid w:val="0027025F"/>
    <w:rsid w:val="00270E32"/>
    <w:rsid w:val="002710B8"/>
    <w:rsid w:val="002713E0"/>
    <w:rsid w:val="00272A85"/>
    <w:rsid w:val="00274233"/>
    <w:rsid w:val="00282C2B"/>
    <w:rsid w:val="002870C2"/>
    <w:rsid w:val="0029068E"/>
    <w:rsid w:val="00294BC6"/>
    <w:rsid w:val="00294D2F"/>
    <w:rsid w:val="002A412F"/>
    <w:rsid w:val="002B09AE"/>
    <w:rsid w:val="002B7143"/>
    <w:rsid w:val="002B7DA7"/>
    <w:rsid w:val="002C47BC"/>
    <w:rsid w:val="002D0011"/>
    <w:rsid w:val="002D1809"/>
    <w:rsid w:val="002D35C0"/>
    <w:rsid w:val="002D38E5"/>
    <w:rsid w:val="002D486B"/>
    <w:rsid w:val="002D489D"/>
    <w:rsid w:val="002D748B"/>
    <w:rsid w:val="002E5BA7"/>
    <w:rsid w:val="002F0219"/>
    <w:rsid w:val="002F6E69"/>
    <w:rsid w:val="00301BBA"/>
    <w:rsid w:val="00303852"/>
    <w:rsid w:val="0030390E"/>
    <w:rsid w:val="00304325"/>
    <w:rsid w:val="00305AB3"/>
    <w:rsid w:val="00306468"/>
    <w:rsid w:val="00311702"/>
    <w:rsid w:val="0031481E"/>
    <w:rsid w:val="0031518E"/>
    <w:rsid w:val="00316B3F"/>
    <w:rsid w:val="003171C0"/>
    <w:rsid w:val="003207A7"/>
    <w:rsid w:val="00322604"/>
    <w:rsid w:val="0032344A"/>
    <w:rsid w:val="00323FD0"/>
    <w:rsid w:val="00324F4C"/>
    <w:rsid w:val="00326A28"/>
    <w:rsid w:val="00331F0D"/>
    <w:rsid w:val="0033493C"/>
    <w:rsid w:val="00335733"/>
    <w:rsid w:val="003369FE"/>
    <w:rsid w:val="00341E6C"/>
    <w:rsid w:val="003425AA"/>
    <w:rsid w:val="0034298B"/>
    <w:rsid w:val="003439FD"/>
    <w:rsid w:val="00344C60"/>
    <w:rsid w:val="00345092"/>
    <w:rsid w:val="00345DCF"/>
    <w:rsid w:val="003466B0"/>
    <w:rsid w:val="00346C30"/>
    <w:rsid w:val="0034701E"/>
    <w:rsid w:val="003473D6"/>
    <w:rsid w:val="00350E02"/>
    <w:rsid w:val="00354A29"/>
    <w:rsid w:val="0036187C"/>
    <w:rsid w:val="00362A69"/>
    <w:rsid w:val="00363B33"/>
    <w:rsid w:val="00364D86"/>
    <w:rsid w:val="00366644"/>
    <w:rsid w:val="00366A03"/>
    <w:rsid w:val="00367C74"/>
    <w:rsid w:val="003733C9"/>
    <w:rsid w:val="00374547"/>
    <w:rsid w:val="00376739"/>
    <w:rsid w:val="003772AC"/>
    <w:rsid w:val="00381AB1"/>
    <w:rsid w:val="0038681E"/>
    <w:rsid w:val="00386AB9"/>
    <w:rsid w:val="00387C92"/>
    <w:rsid w:val="00390ABE"/>
    <w:rsid w:val="00392032"/>
    <w:rsid w:val="003A0A2C"/>
    <w:rsid w:val="003A4E6D"/>
    <w:rsid w:val="003B32A7"/>
    <w:rsid w:val="003B3F67"/>
    <w:rsid w:val="003B4301"/>
    <w:rsid w:val="003B71FC"/>
    <w:rsid w:val="003C0B34"/>
    <w:rsid w:val="003C35F1"/>
    <w:rsid w:val="003C6496"/>
    <w:rsid w:val="003D1BDA"/>
    <w:rsid w:val="003D61D5"/>
    <w:rsid w:val="003D7461"/>
    <w:rsid w:val="003E4711"/>
    <w:rsid w:val="003E5556"/>
    <w:rsid w:val="003E5D24"/>
    <w:rsid w:val="003E7375"/>
    <w:rsid w:val="003F5D32"/>
    <w:rsid w:val="00400E2C"/>
    <w:rsid w:val="004031BC"/>
    <w:rsid w:val="00405D47"/>
    <w:rsid w:val="00406B46"/>
    <w:rsid w:val="00412B6A"/>
    <w:rsid w:val="00413BC6"/>
    <w:rsid w:val="00416379"/>
    <w:rsid w:val="00435C0A"/>
    <w:rsid w:val="00440A47"/>
    <w:rsid w:val="00443328"/>
    <w:rsid w:val="0044488D"/>
    <w:rsid w:val="00445E78"/>
    <w:rsid w:val="0044702C"/>
    <w:rsid w:val="00454FBB"/>
    <w:rsid w:val="00455FF4"/>
    <w:rsid w:val="004607FD"/>
    <w:rsid w:val="00462348"/>
    <w:rsid w:val="00464D91"/>
    <w:rsid w:val="00465436"/>
    <w:rsid w:val="00467431"/>
    <w:rsid w:val="00475CEF"/>
    <w:rsid w:val="00475EDF"/>
    <w:rsid w:val="0047767A"/>
    <w:rsid w:val="00481637"/>
    <w:rsid w:val="004830CB"/>
    <w:rsid w:val="0048482E"/>
    <w:rsid w:val="00484C13"/>
    <w:rsid w:val="00484CC0"/>
    <w:rsid w:val="00484D66"/>
    <w:rsid w:val="00485FDE"/>
    <w:rsid w:val="00490C6B"/>
    <w:rsid w:val="00492973"/>
    <w:rsid w:val="004A0F9B"/>
    <w:rsid w:val="004A28C6"/>
    <w:rsid w:val="004A3B47"/>
    <w:rsid w:val="004A6E98"/>
    <w:rsid w:val="004B0533"/>
    <w:rsid w:val="004B7583"/>
    <w:rsid w:val="004C1C7B"/>
    <w:rsid w:val="004C399B"/>
    <w:rsid w:val="004C43C7"/>
    <w:rsid w:val="004C6442"/>
    <w:rsid w:val="004C6B98"/>
    <w:rsid w:val="004C7193"/>
    <w:rsid w:val="004D043F"/>
    <w:rsid w:val="004D225B"/>
    <w:rsid w:val="004D39D9"/>
    <w:rsid w:val="004D56E2"/>
    <w:rsid w:val="004D7A85"/>
    <w:rsid w:val="004E2640"/>
    <w:rsid w:val="004F01C6"/>
    <w:rsid w:val="004F2701"/>
    <w:rsid w:val="004F2B79"/>
    <w:rsid w:val="004F6772"/>
    <w:rsid w:val="0050040E"/>
    <w:rsid w:val="00500863"/>
    <w:rsid w:val="005011D4"/>
    <w:rsid w:val="005039A7"/>
    <w:rsid w:val="005055D5"/>
    <w:rsid w:val="00505B64"/>
    <w:rsid w:val="00506738"/>
    <w:rsid w:val="005109A3"/>
    <w:rsid w:val="00512FF3"/>
    <w:rsid w:val="0051675E"/>
    <w:rsid w:val="00522F0F"/>
    <w:rsid w:val="005233EC"/>
    <w:rsid w:val="0053096A"/>
    <w:rsid w:val="0053153E"/>
    <w:rsid w:val="00531E3D"/>
    <w:rsid w:val="0053293C"/>
    <w:rsid w:val="005344D3"/>
    <w:rsid w:val="00536282"/>
    <w:rsid w:val="005373CB"/>
    <w:rsid w:val="0053776B"/>
    <w:rsid w:val="00540F27"/>
    <w:rsid w:val="00543249"/>
    <w:rsid w:val="0054412E"/>
    <w:rsid w:val="0054677A"/>
    <w:rsid w:val="00546D16"/>
    <w:rsid w:val="00547154"/>
    <w:rsid w:val="00551ED0"/>
    <w:rsid w:val="00555B87"/>
    <w:rsid w:val="00561B5E"/>
    <w:rsid w:val="005646A8"/>
    <w:rsid w:val="00565412"/>
    <w:rsid w:val="00567075"/>
    <w:rsid w:val="00574539"/>
    <w:rsid w:val="005755A8"/>
    <w:rsid w:val="00577962"/>
    <w:rsid w:val="005831C6"/>
    <w:rsid w:val="00585BC9"/>
    <w:rsid w:val="0059306C"/>
    <w:rsid w:val="00594782"/>
    <w:rsid w:val="00594ACF"/>
    <w:rsid w:val="005967A0"/>
    <w:rsid w:val="005A1892"/>
    <w:rsid w:val="005A21B3"/>
    <w:rsid w:val="005A40D3"/>
    <w:rsid w:val="005A519A"/>
    <w:rsid w:val="005B024D"/>
    <w:rsid w:val="005B2496"/>
    <w:rsid w:val="005B297E"/>
    <w:rsid w:val="005B2B10"/>
    <w:rsid w:val="005C18B7"/>
    <w:rsid w:val="005C1C2D"/>
    <w:rsid w:val="005C1FA3"/>
    <w:rsid w:val="005C3252"/>
    <w:rsid w:val="005D4E72"/>
    <w:rsid w:val="005D599A"/>
    <w:rsid w:val="005D6B39"/>
    <w:rsid w:val="005D7FCC"/>
    <w:rsid w:val="005E0110"/>
    <w:rsid w:val="005E134E"/>
    <w:rsid w:val="005E16E7"/>
    <w:rsid w:val="005E36BC"/>
    <w:rsid w:val="005E6413"/>
    <w:rsid w:val="005F0341"/>
    <w:rsid w:val="005F1C91"/>
    <w:rsid w:val="005F2D23"/>
    <w:rsid w:val="005F3F69"/>
    <w:rsid w:val="005F3F70"/>
    <w:rsid w:val="005F430E"/>
    <w:rsid w:val="005F4BA3"/>
    <w:rsid w:val="005F7113"/>
    <w:rsid w:val="006007ED"/>
    <w:rsid w:val="00602C9D"/>
    <w:rsid w:val="00613A94"/>
    <w:rsid w:val="00617765"/>
    <w:rsid w:val="00620166"/>
    <w:rsid w:val="006204B9"/>
    <w:rsid w:val="006221DE"/>
    <w:rsid w:val="0062240F"/>
    <w:rsid w:val="006238B2"/>
    <w:rsid w:val="006247E4"/>
    <w:rsid w:val="00630A0B"/>
    <w:rsid w:val="006330B8"/>
    <w:rsid w:val="00636296"/>
    <w:rsid w:val="00640B31"/>
    <w:rsid w:val="00642967"/>
    <w:rsid w:val="006431B4"/>
    <w:rsid w:val="00645818"/>
    <w:rsid w:val="00652976"/>
    <w:rsid w:val="00653A44"/>
    <w:rsid w:val="00661964"/>
    <w:rsid w:val="00665DCB"/>
    <w:rsid w:val="0066646F"/>
    <w:rsid w:val="00667CBE"/>
    <w:rsid w:val="00671D18"/>
    <w:rsid w:val="00675CA1"/>
    <w:rsid w:val="00676472"/>
    <w:rsid w:val="006846DB"/>
    <w:rsid w:val="00691463"/>
    <w:rsid w:val="00694C54"/>
    <w:rsid w:val="0069671E"/>
    <w:rsid w:val="00697B94"/>
    <w:rsid w:val="006A0235"/>
    <w:rsid w:val="006A50AB"/>
    <w:rsid w:val="006A54D4"/>
    <w:rsid w:val="006A5E5E"/>
    <w:rsid w:val="006A6721"/>
    <w:rsid w:val="006A728B"/>
    <w:rsid w:val="006B0730"/>
    <w:rsid w:val="006B2173"/>
    <w:rsid w:val="006B5892"/>
    <w:rsid w:val="006C2EC5"/>
    <w:rsid w:val="006C3613"/>
    <w:rsid w:val="006C48DF"/>
    <w:rsid w:val="006D2734"/>
    <w:rsid w:val="006D6890"/>
    <w:rsid w:val="006E0A8D"/>
    <w:rsid w:val="006E3ADD"/>
    <w:rsid w:val="006E4181"/>
    <w:rsid w:val="006E5339"/>
    <w:rsid w:val="006F28B3"/>
    <w:rsid w:val="006F4106"/>
    <w:rsid w:val="006F7571"/>
    <w:rsid w:val="007023BD"/>
    <w:rsid w:val="00703E1B"/>
    <w:rsid w:val="00705024"/>
    <w:rsid w:val="00706CC7"/>
    <w:rsid w:val="00713691"/>
    <w:rsid w:val="007155F8"/>
    <w:rsid w:val="00715A52"/>
    <w:rsid w:val="00720089"/>
    <w:rsid w:val="00731F18"/>
    <w:rsid w:val="007348EB"/>
    <w:rsid w:val="00734B6D"/>
    <w:rsid w:val="00735892"/>
    <w:rsid w:val="007363D5"/>
    <w:rsid w:val="00740894"/>
    <w:rsid w:val="00740FE1"/>
    <w:rsid w:val="0074314A"/>
    <w:rsid w:val="00746456"/>
    <w:rsid w:val="00747FD9"/>
    <w:rsid w:val="007532AF"/>
    <w:rsid w:val="007538FE"/>
    <w:rsid w:val="00755A8E"/>
    <w:rsid w:val="00756EBC"/>
    <w:rsid w:val="00760C8A"/>
    <w:rsid w:val="00760FDB"/>
    <w:rsid w:val="0077070A"/>
    <w:rsid w:val="00774489"/>
    <w:rsid w:val="00777346"/>
    <w:rsid w:val="0077775C"/>
    <w:rsid w:val="00780FDF"/>
    <w:rsid w:val="00782411"/>
    <w:rsid w:val="00784D97"/>
    <w:rsid w:val="00785682"/>
    <w:rsid w:val="00785894"/>
    <w:rsid w:val="00786A22"/>
    <w:rsid w:val="0078718E"/>
    <w:rsid w:val="00791675"/>
    <w:rsid w:val="00792E30"/>
    <w:rsid w:val="0079788A"/>
    <w:rsid w:val="007A0649"/>
    <w:rsid w:val="007A36E4"/>
    <w:rsid w:val="007A3A76"/>
    <w:rsid w:val="007A48A4"/>
    <w:rsid w:val="007B2ABD"/>
    <w:rsid w:val="007B2AFC"/>
    <w:rsid w:val="007B5587"/>
    <w:rsid w:val="007B5B83"/>
    <w:rsid w:val="007C02D1"/>
    <w:rsid w:val="007C2DA9"/>
    <w:rsid w:val="007C3D7C"/>
    <w:rsid w:val="007D0905"/>
    <w:rsid w:val="007D11D2"/>
    <w:rsid w:val="007D2D78"/>
    <w:rsid w:val="007D2EFF"/>
    <w:rsid w:val="007E068D"/>
    <w:rsid w:val="007E250F"/>
    <w:rsid w:val="007E76E9"/>
    <w:rsid w:val="007F197F"/>
    <w:rsid w:val="007F4E22"/>
    <w:rsid w:val="007F51C4"/>
    <w:rsid w:val="00810EA6"/>
    <w:rsid w:val="008124CC"/>
    <w:rsid w:val="00812E17"/>
    <w:rsid w:val="00814B7C"/>
    <w:rsid w:val="00814DA0"/>
    <w:rsid w:val="008151FA"/>
    <w:rsid w:val="008165E2"/>
    <w:rsid w:val="00820FFC"/>
    <w:rsid w:val="00823109"/>
    <w:rsid w:val="008257E6"/>
    <w:rsid w:val="00831F19"/>
    <w:rsid w:val="008377F0"/>
    <w:rsid w:val="008378E6"/>
    <w:rsid w:val="00843D50"/>
    <w:rsid w:val="00843FF0"/>
    <w:rsid w:val="008470E2"/>
    <w:rsid w:val="00853EFF"/>
    <w:rsid w:val="00857CD1"/>
    <w:rsid w:val="00861BC7"/>
    <w:rsid w:val="00862A2F"/>
    <w:rsid w:val="0086412E"/>
    <w:rsid w:val="00865B91"/>
    <w:rsid w:val="00867982"/>
    <w:rsid w:val="00871078"/>
    <w:rsid w:val="0087301C"/>
    <w:rsid w:val="00874270"/>
    <w:rsid w:val="00875837"/>
    <w:rsid w:val="00876ED2"/>
    <w:rsid w:val="00877705"/>
    <w:rsid w:val="00881A1C"/>
    <w:rsid w:val="00884167"/>
    <w:rsid w:val="0088746A"/>
    <w:rsid w:val="0089022B"/>
    <w:rsid w:val="00891E1A"/>
    <w:rsid w:val="00893086"/>
    <w:rsid w:val="008A2A42"/>
    <w:rsid w:val="008A3A8A"/>
    <w:rsid w:val="008A5379"/>
    <w:rsid w:val="008A621E"/>
    <w:rsid w:val="008A6293"/>
    <w:rsid w:val="008B2D73"/>
    <w:rsid w:val="008B4D3E"/>
    <w:rsid w:val="008B7919"/>
    <w:rsid w:val="008C04AD"/>
    <w:rsid w:val="008C36CB"/>
    <w:rsid w:val="008C3FA3"/>
    <w:rsid w:val="008C697A"/>
    <w:rsid w:val="008D1A06"/>
    <w:rsid w:val="008D1BEE"/>
    <w:rsid w:val="008D7064"/>
    <w:rsid w:val="008D7A9D"/>
    <w:rsid w:val="008E2141"/>
    <w:rsid w:val="008E3D87"/>
    <w:rsid w:val="008E5BA4"/>
    <w:rsid w:val="009104D6"/>
    <w:rsid w:val="00911268"/>
    <w:rsid w:val="009205D2"/>
    <w:rsid w:val="009205EB"/>
    <w:rsid w:val="00921B10"/>
    <w:rsid w:val="009220D0"/>
    <w:rsid w:val="00922BB5"/>
    <w:rsid w:val="0092312F"/>
    <w:rsid w:val="00934D21"/>
    <w:rsid w:val="00935267"/>
    <w:rsid w:val="009353FA"/>
    <w:rsid w:val="009371C9"/>
    <w:rsid w:val="0093745D"/>
    <w:rsid w:val="009560E0"/>
    <w:rsid w:val="00963ED2"/>
    <w:rsid w:val="00965BEF"/>
    <w:rsid w:val="00965E5C"/>
    <w:rsid w:val="00972343"/>
    <w:rsid w:val="009741DF"/>
    <w:rsid w:val="0097607F"/>
    <w:rsid w:val="009774BB"/>
    <w:rsid w:val="00980122"/>
    <w:rsid w:val="00983A42"/>
    <w:rsid w:val="00987810"/>
    <w:rsid w:val="0099140F"/>
    <w:rsid w:val="009915DE"/>
    <w:rsid w:val="0099689B"/>
    <w:rsid w:val="0099709E"/>
    <w:rsid w:val="009971C2"/>
    <w:rsid w:val="009A39FE"/>
    <w:rsid w:val="009A3A32"/>
    <w:rsid w:val="009A3A68"/>
    <w:rsid w:val="009A4C19"/>
    <w:rsid w:val="009B0E03"/>
    <w:rsid w:val="009B39A4"/>
    <w:rsid w:val="009B6761"/>
    <w:rsid w:val="009B7616"/>
    <w:rsid w:val="009C2E7D"/>
    <w:rsid w:val="009C4325"/>
    <w:rsid w:val="009D19A6"/>
    <w:rsid w:val="009D3668"/>
    <w:rsid w:val="009D7733"/>
    <w:rsid w:val="009E0A44"/>
    <w:rsid w:val="009E1EC7"/>
    <w:rsid w:val="009E2932"/>
    <w:rsid w:val="009E60A7"/>
    <w:rsid w:val="009F0B1D"/>
    <w:rsid w:val="009F1395"/>
    <w:rsid w:val="009F5CC6"/>
    <w:rsid w:val="009F667F"/>
    <w:rsid w:val="00A0055B"/>
    <w:rsid w:val="00A02392"/>
    <w:rsid w:val="00A02F1B"/>
    <w:rsid w:val="00A121E0"/>
    <w:rsid w:val="00A12412"/>
    <w:rsid w:val="00A23431"/>
    <w:rsid w:val="00A30456"/>
    <w:rsid w:val="00A33173"/>
    <w:rsid w:val="00A35A34"/>
    <w:rsid w:val="00A4118E"/>
    <w:rsid w:val="00A44FD1"/>
    <w:rsid w:val="00A63459"/>
    <w:rsid w:val="00A63BB9"/>
    <w:rsid w:val="00A65852"/>
    <w:rsid w:val="00A66FB6"/>
    <w:rsid w:val="00A674AA"/>
    <w:rsid w:val="00A71E40"/>
    <w:rsid w:val="00A72282"/>
    <w:rsid w:val="00A72C5C"/>
    <w:rsid w:val="00A7352E"/>
    <w:rsid w:val="00A75AEF"/>
    <w:rsid w:val="00A75E8E"/>
    <w:rsid w:val="00A8145E"/>
    <w:rsid w:val="00A82F10"/>
    <w:rsid w:val="00A839C1"/>
    <w:rsid w:val="00A843B6"/>
    <w:rsid w:val="00A86088"/>
    <w:rsid w:val="00A903A0"/>
    <w:rsid w:val="00A91F76"/>
    <w:rsid w:val="00A92890"/>
    <w:rsid w:val="00A92D71"/>
    <w:rsid w:val="00A970C8"/>
    <w:rsid w:val="00AA271B"/>
    <w:rsid w:val="00AA3273"/>
    <w:rsid w:val="00AA4198"/>
    <w:rsid w:val="00AA7CCE"/>
    <w:rsid w:val="00AB28FC"/>
    <w:rsid w:val="00AB2B45"/>
    <w:rsid w:val="00AB2E00"/>
    <w:rsid w:val="00AC24E3"/>
    <w:rsid w:val="00AC5C42"/>
    <w:rsid w:val="00AD2AC8"/>
    <w:rsid w:val="00AD7D4E"/>
    <w:rsid w:val="00AE086D"/>
    <w:rsid w:val="00AE283B"/>
    <w:rsid w:val="00AE2F92"/>
    <w:rsid w:val="00AF55FE"/>
    <w:rsid w:val="00B0120F"/>
    <w:rsid w:val="00B062C2"/>
    <w:rsid w:val="00B06810"/>
    <w:rsid w:val="00B06A8C"/>
    <w:rsid w:val="00B14645"/>
    <w:rsid w:val="00B15167"/>
    <w:rsid w:val="00B15463"/>
    <w:rsid w:val="00B165E0"/>
    <w:rsid w:val="00B17819"/>
    <w:rsid w:val="00B17A76"/>
    <w:rsid w:val="00B25757"/>
    <w:rsid w:val="00B271A4"/>
    <w:rsid w:val="00B3021D"/>
    <w:rsid w:val="00B354DA"/>
    <w:rsid w:val="00B414AC"/>
    <w:rsid w:val="00B41D30"/>
    <w:rsid w:val="00B42634"/>
    <w:rsid w:val="00B44470"/>
    <w:rsid w:val="00B46081"/>
    <w:rsid w:val="00B51DA0"/>
    <w:rsid w:val="00B51E38"/>
    <w:rsid w:val="00B52084"/>
    <w:rsid w:val="00B52E49"/>
    <w:rsid w:val="00B53C30"/>
    <w:rsid w:val="00B56144"/>
    <w:rsid w:val="00B61CF6"/>
    <w:rsid w:val="00B624D7"/>
    <w:rsid w:val="00B6782E"/>
    <w:rsid w:val="00B709E2"/>
    <w:rsid w:val="00B709FC"/>
    <w:rsid w:val="00B70F34"/>
    <w:rsid w:val="00B8067A"/>
    <w:rsid w:val="00B81B7C"/>
    <w:rsid w:val="00B85F99"/>
    <w:rsid w:val="00B867BA"/>
    <w:rsid w:val="00B9092C"/>
    <w:rsid w:val="00B92962"/>
    <w:rsid w:val="00B94728"/>
    <w:rsid w:val="00B9655C"/>
    <w:rsid w:val="00B96A90"/>
    <w:rsid w:val="00B96BDA"/>
    <w:rsid w:val="00BA49FB"/>
    <w:rsid w:val="00BA7713"/>
    <w:rsid w:val="00BB13B5"/>
    <w:rsid w:val="00BB257A"/>
    <w:rsid w:val="00BB44A5"/>
    <w:rsid w:val="00BB62C8"/>
    <w:rsid w:val="00BC40F0"/>
    <w:rsid w:val="00BC5B88"/>
    <w:rsid w:val="00BD111A"/>
    <w:rsid w:val="00BD719C"/>
    <w:rsid w:val="00BE1BE1"/>
    <w:rsid w:val="00BE3135"/>
    <w:rsid w:val="00BE40CF"/>
    <w:rsid w:val="00BE4A0B"/>
    <w:rsid w:val="00BF0368"/>
    <w:rsid w:val="00BF1E29"/>
    <w:rsid w:val="00C05A9B"/>
    <w:rsid w:val="00C06766"/>
    <w:rsid w:val="00C06E6D"/>
    <w:rsid w:val="00C07719"/>
    <w:rsid w:val="00C13873"/>
    <w:rsid w:val="00C22A00"/>
    <w:rsid w:val="00C306DB"/>
    <w:rsid w:val="00C3076E"/>
    <w:rsid w:val="00C35C96"/>
    <w:rsid w:val="00C35D5D"/>
    <w:rsid w:val="00C364D6"/>
    <w:rsid w:val="00C41AF1"/>
    <w:rsid w:val="00C42808"/>
    <w:rsid w:val="00C434B0"/>
    <w:rsid w:val="00C45D07"/>
    <w:rsid w:val="00C515BF"/>
    <w:rsid w:val="00C52A1F"/>
    <w:rsid w:val="00C567A3"/>
    <w:rsid w:val="00C57211"/>
    <w:rsid w:val="00C61290"/>
    <w:rsid w:val="00C63755"/>
    <w:rsid w:val="00C703EA"/>
    <w:rsid w:val="00C74384"/>
    <w:rsid w:val="00C7560F"/>
    <w:rsid w:val="00C76465"/>
    <w:rsid w:val="00C81BF7"/>
    <w:rsid w:val="00C82757"/>
    <w:rsid w:val="00C83FDD"/>
    <w:rsid w:val="00C85D8A"/>
    <w:rsid w:val="00C863D4"/>
    <w:rsid w:val="00C869AC"/>
    <w:rsid w:val="00CA0608"/>
    <w:rsid w:val="00CA0A54"/>
    <w:rsid w:val="00CB09CA"/>
    <w:rsid w:val="00CB0C69"/>
    <w:rsid w:val="00CB1D6E"/>
    <w:rsid w:val="00CB3256"/>
    <w:rsid w:val="00CC2894"/>
    <w:rsid w:val="00CC4038"/>
    <w:rsid w:val="00CC5805"/>
    <w:rsid w:val="00CD0F4A"/>
    <w:rsid w:val="00CE0139"/>
    <w:rsid w:val="00CE01D8"/>
    <w:rsid w:val="00CF076F"/>
    <w:rsid w:val="00CF15F8"/>
    <w:rsid w:val="00CF564F"/>
    <w:rsid w:val="00D06B98"/>
    <w:rsid w:val="00D1793C"/>
    <w:rsid w:val="00D2442B"/>
    <w:rsid w:val="00D27621"/>
    <w:rsid w:val="00D30E34"/>
    <w:rsid w:val="00D318F4"/>
    <w:rsid w:val="00D31DBB"/>
    <w:rsid w:val="00D36154"/>
    <w:rsid w:val="00D366B3"/>
    <w:rsid w:val="00D40ECB"/>
    <w:rsid w:val="00D4439A"/>
    <w:rsid w:val="00D46B4C"/>
    <w:rsid w:val="00D46B74"/>
    <w:rsid w:val="00D52159"/>
    <w:rsid w:val="00D548A9"/>
    <w:rsid w:val="00D55F96"/>
    <w:rsid w:val="00D620FD"/>
    <w:rsid w:val="00D63781"/>
    <w:rsid w:val="00D63970"/>
    <w:rsid w:val="00D672A9"/>
    <w:rsid w:val="00D67539"/>
    <w:rsid w:val="00D706D9"/>
    <w:rsid w:val="00D746B3"/>
    <w:rsid w:val="00D746FC"/>
    <w:rsid w:val="00D76590"/>
    <w:rsid w:val="00D77EF0"/>
    <w:rsid w:val="00D80C7C"/>
    <w:rsid w:val="00D81063"/>
    <w:rsid w:val="00D86429"/>
    <w:rsid w:val="00D8759A"/>
    <w:rsid w:val="00D87648"/>
    <w:rsid w:val="00D9080F"/>
    <w:rsid w:val="00D908C3"/>
    <w:rsid w:val="00D9327A"/>
    <w:rsid w:val="00D93A23"/>
    <w:rsid w:val="00D9444A"/>
    <w:rsid w:val="00D97195"/>
    <w:rsid w:val="00D971B4"/>
    <w:rsid w:val="00DA0B8E"/>
    <w:rsid w:val="00DA4FA5"/>
    <w:rsid w:val="00DB337C"/>
    <w:rsid w:val="00DB6188"/>
    <w:rsid w:val="00DB6874"/>
    <w:rsid w:val="00DB72F2"/>
    <w:rsid w:val="00DC2CC1"/>
    <w:rsid w:val="00DC7D38"/>
    <w:rsid w:val="00DD075B"/>
    <w:rsid w:val="00DD2032"/>
    <w:rsid w:val="00DD56FE"/>
    <w:rsid w:val="00DD667B"/>
    <w:rsid w:val="00DD6CC2"/>
    <w:rsid w:val="00DE332A"/>
    <w:rsid w:val="00DE3C7F"/>
    <w:rsid w:val="00DE7231"/>
    <w:rsid w:val="00DF3395"/>
    <w:rsid w:val="00DF35DF"/>
    <w:rsid w:val="00DF74F0"/>
    <w:rsid w:val="00E00E61"/>
    <w:rsid w:val="00E0315F"/>
    <w:rsid w:val="00E03A96"/>
    <w:rsid w:val="00E13F48"/>
    <w:rsid w:val="00E1422B"/>
    <w:rsid w:val="00E22462"/>
    <w:rsid w:val="00E23138"/>
    <w:rsid w:val="00E25D51"/>
    <w:rsid w:val="00E26850"/>
    <w:rsid w:val="00E27409"/>
    <w:rsid w:val="00E2757E"/>
    <w:rsid w:val="00E31164"/>
    <w:rsid w:val="00E32F8F"/>
    <w:rsid w:val="00E37026"/>
    <w:rsid w:val="00E41CA1"/>
    <w:rsid w:val="00E41EB6"/>
    <w:rsid w:val="00E42853"/>
    <w:rsid w:val="00E43BF9"/>
    <w:rsid w:val="00E46181"/>
    <w:rsid w:val="00E50120"/>
    <w:rsid w:val="00E558F4"/>
    <w:rsid w:val="00E634E2"/>
    <w:rsid w:val="00E65E82"/>
    <w:rsid w:val="00E661C3"/>
    <w:rsid w:val="00E708A1"/>
    <w:rsid w:val="00E71BA9"/>
    <w:rsid w:val="00E71CE8"/>
    <w:rsid w:val="00E747C4"/>
    <w:rsid w:val="00E771A2"/>
    <w:rsid w:val="00E80BAB"/>
    <w:rsid w:val="00E80D85"/>
    <w:rsid w:val="00E86A5F"/>
    <w:rsid w:val="00E873C2"/>
    <w:rsid w:val="00E91B7F"/>
    <w:rsid w:val="00E944DE"/>
    <w:rsid w:val="00EA03C9"/>
    <w:rsid w:val="00EA1878"/>
    <w:rsid w:val="00EA1A64"/>
    <w:rsid w:val="00EA1E74"/>
    <w:rsid w:val="00EA3766"/>
    <w:rsid w:val="00EA3C4D"/>
    <w:rsid w:val="00EA7745"/>
    <w:rsid w:val="00EB21BF"/>
    <w:rsid w:val="00EB25B2"/>
    <w:rsid w:val="00EB2665"/>
    <w:rsid w:val="00EB79FB"/>
    <w:rsid w:val="00EC1554"/>
    <w:rsid w:val="00EC2025"/>
    <w:rsid w:val="00EC2E43"/>
    <w:rsid w:val="00EC3566"/>
    <w:rsid w:val="00EC3CC3"/>
    <w:rsid w:val="00EC5B08"/>
    <w:rsid w:val="00EC623C"/>
    <w:rsid w:val="00EC7B7A"/>
    <w:rsid w:val="00EC7B9C"/>
    <w:rsid w:val="00ED2A40"/>
    <w:rsid w:val="00ED3294"/>
    <w:rsid w:val="00ED56EF"/>
    <w:rsid w:val="00ED6A00"/>
    <w:rsid w:val="00EE115B"/>
    <w:rsid w:val="00EE1C5A"/>
    <w:rsid w:val="00EE2607"/>
    <w:rsid w:val="00EE413D"/>
    <w:rsid w:val="00EE5778"/>
    <w:rsid w:val="00EE6CC3"/>
    <w:rsid w:val="00EE78E1"/>
    <w:rsid w:val="00EF09A3"/>
    <w:rsid w:val="00EF11F9"/>
    <w:rsid w:val="00EF38B8"/>
    <w:rsid w:val="00F00C18"/>
    <w:rsid w:val="00F012AE"/>
    <w:rsid w:val="00F03A19"/>
    <w:rsid w:val="00F04DC6"/>
    <w:rsid w:val="00F079BE"/>
    <w:rsid w:val="00F07D0D"/>
    <w:rsid w:val="00F104D7"/>
    <w:rsid w:val="00F13B0F"/>
    <w:rsid w:val="00F211C6"/>
    <w:rsid w:val="00F25922"/>
    <w:rsid w:val="00F2686A"/>
    <w:rsid w:val="00F277B2"/>
    <w:rsid w:val="00F37E69"/>
    <w:rsid w:val="00F408D6"/>
    <w:rsid w:val="00F50C7B"/>
    <w:rsid w:val="00F523E5"/>
    <w:rsid w:val="00F54182"/>
    <w:rsid w:val="00F55095"/>
    <w:rsid w:val="00F55939"/>
    <w:rsid w:val="00F601D0"/>
    <w:rsid w:val="00F65E1A"/>
    <w:rsid w:val="00F702EB"/>
    <w:rsid w:val="00F71C18"/>
    <w:rsid w:val="00F72127"/>
    <w:rsid w:val="00F74217"/>
    <w:rsid w:val="00F74C73"/>
    <w:rsid w:val="00F74D3C"/>
    <w:rsid w:val="00F75283"/>
    <w:rsid w:val="00F753CF"/>
    <w:rsid w:val="00F76F11"/>
    <w:rsid w:val="00F77797"/>
    <w:rsid w:val="00F8064C"/>
    <w:rsid w:val="00F8163C"/>
    <w:rsid w:val="00F82E0A"/>
    <w:rsid w:val="00F859D5"/>
    <w:rsid w:val="00F90260"/>
    <w:rsid w:val="00F91188"/>
    <w:rsid w:val="00F96274"/>
    <w:rsid w:val="00FA7D29"/>
    <w:rsid w:val="00FB012D"/>
    <w:rsid w:val="00FB1075"/>
    <w:rsid w:val="00FB326A"/>
    <w:rsid w:val="00FB6CB9"/>
    <w:rsid w:val="00FC03D4"/>
    <w:rsid w:val="00FC08C3"/>
    <w:rsid w:val="00FC1C9C"/>
    <w:rsid w:val="00FD1922"/>
    <w:rsid w:val="00FD1A1E"/>
    <w:rsid w:val="00FE15E0"/>
    <w:rsid w:val="00FE754C"/>
    <w:rsid w:val="00FF6A3B"/>
    <w:rsid w:val="00FF6B31"/>
    <w:rsid w:val="043A3F7F"/>
    <w:rsid w:val="082038E6"/>
    <w:rsid w:val="0B6013F2"/>
    <w:rsid w:val="0E5C209B"/>
    <w:rsid w:val="0E937FF7"/>
    <w:rsid w:val="10196EF9"/>
    <w:rsid w:val="11E164E5"/>
    <w:rsid w:val="13A85E50"/>
    <w:rsid w:val="164A2BA1"/>
    <w:rsid w:val="18D57CCC"/>
    <w:rsid w:val="19E47E89"/>
    <w:rsid w:val="1B0A43E8"/>
    <w:rsid w:val="1C2C6E7C"/>
    <w:rsid w:val="22750198"/>
    <w:rsid w:val="257B570D"/>
    <w:rsid w:val="25FB69CA"/>
    <w:rsid w:val="287A4275"/>
    <w:rsid w:val="30110AE9"/>
    <w:rsid w:val="34DC77C8"/>
    <w:rsid w:val="36A46DB4"/>
    <w:rsid w:val="3730221B"/>
    <w:rsid w:val="3ACE72C7"/>
    <w:rsid w:val="3CB2519A"/>
    <w:rsid w:val="3E5B60DB"/>
    <w:rsid w:val="481C0CDA"/>
    <w:rsid w:val="492B471A"/>
    <w:rsid w:val="508C2CB2"/>
    <w:rsid w:val="525E4232"/>
    <w:rsid w:val="54D413B8"/>
    <w:rsid w:val="5A9802AF"/>
    <w:rsid w:val="5F6706D0"/>
    <w:rsid w:val="637F0FCD"/>
    <w:rsid w:val="66007D67"/>
    <w:rsid w:val="68D77510"/>
    <w:rsid w:val="760630B0"/>
    <w:rsid w:val="7D260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Char"/>
    <w:basedOn w:val="1"/>
    <w:qFormat/>
    <w:uiPriority w:val="0"/>
    <w:rPr>
      <w:rFonts w:ascii="Tahoma" w:hAnsi="Tahoma"/>
      <w:sz w:val="24"/>
      <w:szCs w:val="20"/>
    </w:rPr>
  </w:style>
  <w:style w:type="paragraph" w:customStyle="1" w:styleId="9">
    <w:name w:val="Char Char Char Char1 Char Char Char Char Char Char Char Char Char Char Char Char Char Char Char Char Char"/>
    <w:basedOn w:val="1"/>
    <w:qFormat/>
    <w:uiPriority w:val="0"/>
    <w:pPr>
      <w:widowControl/>
      <w:spacing w:after="160" w:line="240" w:lineRule="exact"/>
      <w:ind w:firstLine="980" w:firstLineChars="350"/>
      <w:jc w:val="left"/>
    </w:pPr>
    <w:rPr>
      <w:rFonts w:ascii="Verdana" w:hAnsi="Verdana" w:eastAsia="仿宋_GB2312"/>
      <w:kern w:val="0"/>
      <w:sz w:val="28"/>
      <w:szCs w:val="28"/>
      <w:lang w:eastAsia="en-US"/>
    </w:rPr>
  </w:style>
  <w:style w:type="paragraph" w:customStyle="1" w:styleId="10">
    <w:name w:val="Char Char Char Char Char Char Char Char Char Char Char Char Char Char Char Char"/>
    <w:basedOn w:val="1"/>
    <w:qFormat/>
    <w:uiPriority w:val="0"/>
    <w:pPr>
      <w:tabs>
        <w:tab w:val="left" w:pos="360"/>
      </w:tabs>
    </w:pPr>
    <w:rPr>
      <w:sz w:val="24"/>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manualLayout>
          <c:layoutTarget val="inner"/>
          <c:xMode val="edge"/>
          <c:yMode val="edge"/>
          <c:x val="0.103379947531808"/>
          <c:y val="0.258102563769124"/>
          <c:w val="0.822096663791741"/>
          <c:h val="0.66711444306456"/>
        </c:manualLayout>
      </c:layout>
      <c:pieChart>
        <c:varyColors val="true"/>
        <c:ser>
          <c:idx val="0"/>
          <c:order val="0"/>
          <c:tx>
            <c:strRef>
              <c:f>Sheet1!$B$1</c:f>
              <c:strCache>
                <c:ptCount val="1"/>
                <c:pt idx="0">
                  <c:v>2019年收入结构饼状图</c:v>
                </c:pt>
              </c:strCache>
            </c:strRef>
          </c:tx>
          <c:explosion val="0"/>
          <c:dPt>
            <c:idx val="0"/>
            <c:bubble3D val="false"/>
          </c:dPt>
          <c:dPt>
            <c:idx val="1"/>
            <c:bubble3D val="false"/>
          </c:dPt>
          <c:dPt>
            <c:idx val="2"/>
            <c:bubble3D val="false"/>
          </c:dPt>
          <c:dLbls>
            <c:dLbl>
              <c:idx val="0"/>
              <c:layout>
                <c:manualLayout>
                  <c:x val="-0.0713706921523005"/>
                  <c:y val="-0.196098103344018"/>
                </c:manualLayout>
              </c:layout>
              <c:dLblPos val="bestFit"/>
              <c:showLegendKey val="false"/>
              <c:showVal val="false"/>
              <c:showCatName val="true"/>
              <c:showSerName val="false"/>
              <c:showPercent val="true"/>
              <c:showBubbleSize val="false"/>
              <c:extLst>
                <c:ext xmlns:c15="http://schemas.microsoft.com/office/drawing/2012/chart" uri="{CE6537A1-D6FC-4f65-9D91-7224C49458BB}">
                  <c15:layout/>
                </c:ext>
              </c:extLst>
            </c:dLbl>
            <c:dLbl>
              <c:idx val="1"/>
              <c:layout>
                <c:manualLayout>
                  <c:x val="-0.00203088643734393"/>
                  <c:y val="0.0510855218242229"/>
                </c:manualLayout>
              </c:layout>
              <c:dLblPos val="bestFit"/>
              <c:showLegendKey val="false"/>
              <c:showVal val="false"/>
              <c:showCatName val="true"/>
              <c:showSerName val="false"/>
              <c:showPercent val="true"/>
              <c:showBubbleSize val="false"/>
              <c:extLst>
                <c:ext xmlns:c15="http://schemas.microsoft.com/office/drawing/2012/chart" uri="{CE6537A1-D6FC-4f65-9D91-7224C49458BB}">
                  <c15:layout/>
                </c:ext>
              </c:extLst>
            </c:dLbl>
            <c:dLbl>
              <c:idx val="2"/>
              <c:layout>
                <c:manualLayout>
                  <c:x val="0.0541175290092826"/>
                  <c:y val="0.0571353797538314"/>
                </c:manualLayout>
              </c:layout>
              <c:dLblPos val="bestFit"/>
              <c:showLegendKey val="false"/>
              <c:showVal val="false"/>
              <c:showCatName val="true"/>
              <c:showSerName val="false"/>
              <c:showPercent val="true"/>
              <c:showBubbleSize val="false"/>
              <c:extLst>
                <c:ext xmlns:c15="http://schemas.microsoft.com/office/drawing/2012/chart" uri="{CE6537A1-D6FC-4f65-9D91-7224C49458BB}">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Sheet1!$A$2:$A$4</c:f>
              <c:strCache>
                <c:ptCount val="3"/>
                <c:pt idx="0">
                  <c:v>财政拨款收入</c:v>
                </c:pt>
                <c:pt idx="1">
                  <c:v>事业收入</c:v>
                </c:pt>
                <c:pt idx="2">
                  <c:v>其他收入</c:v>
                </c:pt>
              </c:strCache>
            </c:strRef>
          </c:cat>
          <c:val>
            <c:numRef>
              <c:f>Sheet1!$B$2:$B$4</c:f>
              <c:numCache>
                <c:formatCode>#,##0.00</c:formatCode>
                <c:ptCount val="3"/>
                <c:pt idx="0">
                  <c:v>11676.85</c:v>
                </c:pt>
                <c:pt idx="1" c:formatCode="General">
                  <c:v>458.36</c:v>
                </c:pt>
                <c:pt idx="2" c:formatCode="General">
                  <c:v>177.31</c:v>
                </c:pt>
              </c:numCache>
            </c:numRef>
          </c:val>
        </c:ser>
        <c:dLbls>
          <c:showLegendKey val="false"/>
          <c:showVal val="false"/>
          <c:showCatName val="true"/>
          <c:showSerName val="false"/>
          <c:showPercent val="true"/>
          <c:showBubbleSize val="false"/>
          <c:showLeaderLines val="true"/>
        </c:dLbls>
        <c:firstSliceAng val="0"/>
      </c:pieChart>
    </c:plotArea>
    <c:plotVisOnly val="true"/>
    <c:dispBlanksAs val="gap"/>
    <c:showDLblsOverMax val="false"/>
  </c:chart>
  <c:spPr>
    <a:ln w="9525" cap="flat" cmpd="sng" algn="ctr">
      <a:noFill/>
      <a:prstDash val="solid"/>
      <a:round/>
    </a:ln>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'[Microsoft Office Word 中的图表 2]Sheet1'!$B$1</c:f>
              <c:strCache>
                <c:ptCount val="1"/>
                <c:pt idx="0">
                  <c:v>2019年支出结构饼状图</c:v>
                </c:pt>
              </c:strCache>
            </c:strRef>
          </c:tx>
          <c:explosion val="0"/>
          <c:dPt>
            <c:idx val="0"/>
            <c:bubble3D val="false"/>
          </c:dPt>
          <c:dPt>
            <c:idx val="1"/>
            <c:bubble3D val="false"/>
          </c:dPt>
          <c:dLbls>
            <c:dLbl>
              <c:idx val="0"/>
              <c:layout/>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true"/>
              <c:showSerName val="true"/>
              <c:showPercent val="true"/>
              <c:showBubbleSize val="false"/>
              <c:extLst>
                <c:ext xmlns:c15="http://schemas.microsoft.com/office/drawing/2012/chart" uri="{CE6537A1-D6FC-4f65-9D91-7224C49458BB}"/>
              </c:extLst>
            </c:dLbl>
            <c:dLbl>
              <c:idx val="1"/>
              <c:layout/>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true"/>
              <c:showSerName val="true"/>
              <c:showPercent val="true"/>
              <c:showBubbleSize val="false"/>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'[Microsoft Office Word 中的图表 2]Sheet1'!$A$2:$A$3</c:f>
              <c:strCache>
                <c:ptCount val="2"/>
                <c:pt idx="0">
                  <c:v>基本支出</c:v>
                </c:pt>
                <c:pt idx="1">
                  <c:v>项目支出</c:v>
                </c:pt>
              </c:strCache>
            </c:strRef>
          </c:cat>
          <c:val>
            <c:numRef>
              <c:f>'[Microsoft Office Word 中的图表 2]Sheet1'!$B$2:$B$3</c:f>
              <c:numCache>
                <c:formatCode>#,##0.00</c:formatCode>
                <c:ptCount val="2"/>
                <c:pt idx="0">
                  <c:v>6561.86</c:v>
                </c:pt>
                <c:pt idx="1">
                  <c:v>5777.76</c:v>
                </c:pt>
              </c:numCache>
            </c:numRef>
          </c:val>
        </c:ser>
        <c:dLbls>
          <c:showLegendKey val="false"/>
          <c:showVal val="false"/>
          <c:showCatName val="true"/>
          <c:showSerName val="false"/>
          <c:showPercent val="true"/>
          <c:showBubbleSize val="false"/>
          <c:showLeaderLines val="true"/>
        </c:dLbls>
        <c:firstSliceAng val="0"/>
      </c:pieChart>
    </c:plotArea>
    <c:plotVisOnly val="true"/>
    <c:dispBlanksAs val="gap"/>
    <c:showDLblsOverMax val="false"/>
  </c:chart>
  <c:spPr>
    <a:noFill/>
    <a:ln w="9525" cap="flat" cmpd="sng" algn="ctr">
      <a:noFill/>
      <a:prstDash val="solid"/>
      <a:round/>
    </a:ln>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2019年财政拨款支出结构</c:v>
                </c:pt>
              </c:strCache>
            </c:strRef>
          </c:tx>
          <c:explosion val="0"/>
          <c:dPt>
            <c:idx val="0"/>
            <c:bubble3D val="false"/>
          </c:dPt>
          <c:dPt>
            <c:idx val="1"/>
            <c:bubble3D val="false"/>
          </c:dPt>
          <c:dPt>
            <c:idx val="2"/>
            <c:bubble3D val="false"/>
          </c:dPt>
          <c:dPt>
            <c:idx val="3"/>
            <c:bubble3D val="false"/>
          </c:dPt>
          <c:dPt>
            <c:idx val="4"/>
            <c:bubble3D val="false"/>
          </c:dPt>
          <c:dLbls>
            <c:dLbl>
              <c:idx val="1"/>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en-US"/>
                      <a:t>63.95%</a:t>
                    </a:r>
                    <a:endParaRPr lang="en-US" altLang="en-US"/>
                  </a:p>
                </c:rich>
              </c:tx>
              <c:dLblPos val="bestFit"/>
              <c:showLegendKey val="false"/>
              <c:showVal val="false"/>
              <c:showCatName val="false"/>
              <c:showSerName val="false"/>
              <c:showPercent val="true"/>
              <c:showBubbleSize val="false"/>
              <c:extLst>
                <c:ext xmlns:c15="http://schemas.microsoft.com/office/drawing/2012/chart" uri="{CE6537A1-D6FC-4f65-9D91-7224C49458BB}"/>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Sheet1!$A$2:$A$6</c:f>
              <c:strCache>
                <c:ptCount val="5"/>
                <c:pt idx="0">
                  <c:v>一般公共服务支出</c:v>
                </c:pt>
                <c:pt idx="1">
                  <c:v>教育支出</c:v>
                </c:pt>
                <c:pt idx="2">
                  <c:v>科学技术支出</c:v>
                </c:pt>
                <c:pt idx="3">
                  <c:v>社会保障和就业支出</c:v>
                </c:pt>
                <c:pt idx="4">
                  <c:v>住房保障支出</c:v>
                </c:pt>
              </c:strCache>
            </c:strRef>
          </c:cat>
          <c:val>
            <c:numRef>
              <c:f>Sheet1!$B$2:$B$6</c:f>
              <c:numCache>
                <c:formatCode>#,##0.00</c:formatCode>
                <c:ptCount val="5"/>
                <c:pt idx="0">
                  <c:v>3601.82</c:v>
                </c:pt>
                <c:pt idx="1">
                  <c:v>7468.02</c:v>
                </c:pt>
                <c:pt idx="2" c:formatCode="General">
                  <c:v>2.66</c:v>
                </c:pt>
                <c:pt idx="3" c:formatCode="General">
                  <c:v>324.37</c:v>
                </c:pt>
                <c:pt idx="4" c:formatCode="General">
                  <c:v>279.98</c:v>
                </c:pt>
              </c:numCache>
            </c:numRef>
          </c:val>
        </c:ser>
        <c:dLbls>
          <c:showLegendKey val="false"/>
          <c:showVal val="false"/>
          <c:showCatName val="false"/>
          <c:showSerName val="false"/>
          <c:showPercent val="tru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spPr>
    <a:ln w="9525" cap="flat" cmpd="sng" algn="ctr">
      <a:noFill/>
      <a:prstDash val="solid"/>
      <a:round/>
    </a:ln>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en-US" altLang="zh-CN"/>
              <a:t>2019</a:t>
            </a:r>
            <a:r>
              <a:rPr lang="zh-CN" altLang="en-US"/>
              <a:t>年一般公共预算财政拨款支出结构</a:t>
            </a:r>
            <a:endParaRPr lang="zh-CN" altLang="en-US"/>
          </a:p>
        </c:rich>
      </c:tx>
      <c:layout/>
      <c:overlay val="false"/>
    </c:title>
    <c:autoTitleDeleted val="false"/>
    <c:plotArea>
      <c:layout/>
      <c:pieChart>
        <c:varyColors val="true"/>
        <c:ser>
          <c:idx val="0"/>
          <c:order val="0"/>
          <c:tx>
            <c:strRef>
              <c:f>'[Microsoft Office Word 中的图表 4]Sheet1'!$B$1</c:f>
              <c:strCache>
                <c:ptCount val="1"/>
                <c:pt idx="0">
                  <c:v>2019年财政拨款支出结构</c:v>
                </c:pt>
              </c:strCache>
            </c:strRef>
          </c:tx>
          <c:explosion val="0"/>
          <c:dPt>
            <c:idx val="0"/>
            <c:bubble3D val="false"/>
          </c:dPt>
          <c:dPt>
            <c:idx val="1"/>
            <c:bubble3D val="false"/>
          </c:dPt>
          <c:dPt>
            <c:idx val="2"/>
            <c:bubble3D val="false"/>
          </c:dPt>
          <c:dPt>
            <c:idx val="3"/>
            <c:bubble3D val="false"/>
          </c:dPt>
          <c:dPt>
            <c:idx val="4"/>
            <c:bubble3D val="false"/>
          </c:dPt>
          <c:dLbls>
            <c:dLbl>
              <c:idx val="1"/>
              <c:layout/>
              <c:tx>
                <c:rich>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r>
                      <a:rPr lang="en-US" altLang="zh-CN"/>
                      <a:t>63.95%</a:t>
                    </a:r>
                    <a:endParaRPr lang="en-US" altLang="zh-CN"/>
                  </a:p>
                </c:rich>
              </c:tx>
              <c:dLblPos val="bestFit"/>
              <c:showLegendKey val="false"/>
              <c:showVal val="false"/>
              <c:showCatName val="false"/>
              <c:showSerName val="false"/>
              <c:showPercent val="true"/>
              <c:showBubbleSize val="false"/>
              <c:extLst>
                <c:ext xmlns:c15="http://schemas.microsoft.com/office/drawing/2012/chart" uri="{CE6537A1-D6FC-4f65-9D91-7224C49458BB}"/>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'[Microsoft Office Word 中的图表 4]Sheet1'!$A$2:$A$6</c:f>
              <c:strCache>
                <c:ptCount val="5"/>
                <c:pt idx="0">
                  <c:v>一般公共服务支出</c:v>
                </c:pt>
                <c:pt idx="1">
                  <c:v>教育支出</c:v>
                </c:pt>
                <c:pt idx="2">
                  <c:v>科学技术支出</c:v>
                </c:pt>
                <c:pt idx="3">
                  <c:v>社会保障和就业支出</c:v>
                </c:pt>
                <c:pt idx="4">
                  <c:v>住房保障支出</c:v>
                </c:pt>
              </c:strCache>
            </c:strRef>
          </c:cat>
          <c:val>
            <c:numRef>
              <c:f>'[Microsoft Office Word 中的图表 4]Sheet1'!$B$2:$B$6</c:f>
              <c:numCache>
                <c:formatCode>#,##0.00</c:formatCode>
                <c:ptCount val="5"/>
                <c:pt idx="0">
                  <c:v>3601.82</c:v>
                </c:pt>
                <c:pt idx="1">
                  <c:v>7468.02</c:v>
                </c:pt>
                <c:pt idx="2" c:formatCode="General">
                  <c:v>2.66</c:v>
                </c:pt>
                <c:pt idx="3" c:formatCode="General">
                  <c:v>324.37</c:v>
                </c:pt>
                <c:pt idx="4" c:formatCode="General">
                  <c:v>279.98</c:v>
                </c:pt>
              </c:numCache>
            </c:numRef>
          </c:val>
        </c:ser>
        <c:dLbls>
          <c:showLegendKey val="false"/>
          <c:showVal val="false"/>
          <c:showCatName val="false"/>
          <c:showSerName val="false"/>
          <c:showPercent val="tru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spPr>
    <a:ln w="9525" cap="flat" cmpd="sng" algn="ctr">
      <a:noFill/>
      <a:prstDash val="solid"/>
      <a:round/>
    </a:ln>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“三公”经费支出决算结构图</c:v>
                </c:pt>
              </c:strCache>
            </c:strRef>
          </c:tx>
          <c:explosion val="0"/>
          <c:dPt>
            <c:idx val="0"/>
            <c:bubble3D val="false"/>
          </c:dPt>
          <c:dPt>
            <c:idx val="1"/>
            <c:bubble3D val="false"/>
          </c:dPt>
          <c:dPt>
            <c:idx val="2"/>
            <c:bubble3D val="false"/>
          </c:dPt>
          <c:dLbls>
            <c:dLbl>
              <c:idx val="2"/>
              <c:layout>
                <c:manualLayout>
                  <c:x val="0.0131842178777563"/>
                  <c:y val="0.0649318463444858"/>
                </c:manualLayout>
              </c:layout>
              <c:dLblPos val="bestFit"/>
              <c:showLegendKey val="false"/>
              <c:showVal val="false"/>
              <c:showCatName val="true"/>
              <c:showSerName val="false"/>
              <c:showPercent val="true"/>
              <c:showBubbleSize val="false"/>
              <c:extLst>
                <c:ext xmlns:c15="http://schemas.microsoft.com/office/drawing/2012/chart" uri="{CE6537A1-D6FC-4f65-9D91-7224C49458BB}">
                  <c15:layout/>
                </c:ext>
              </c:extLst>
            </c:dLbl>
            <c:numFmt formatCode="0.00%" sourceLinked="false"/>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tru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Sheet1!$A$2:$A$4</c:f>
              <c:strCache>
                <c:ptCount val="3"/>
                <c:pt idx="0">
                  <c:v>因公出国（境）费用</c:v>
                </c:pt>
                <c:pt idx="1">
                  <c:v>公务用车购置及运行费</c:v>
                </c:pt>
                <c:pt idx="2">
                  <c:v>公务接待费</c:v>
                </c:pt>
              </c:strCache>
            </c:strRef>
          </c:cat>
          <c:val>
            <c:numRef>
              <c:f>Sheet1!$B$2:$B$4</c:f>
              <c:numCache>
                <c:formatCode>General</c:formatCode>
                <c:ptCount val="3"/>
                <c:pt idx="0">
                  <c:v>9.01</c:v>
                </c:pt>
                <c:pt idx="1">
                  <c:v>2.9</c:v>
                </c:pt>
                <c:pt idx="2">
                  <c:v>0.41</c:v>
                </c:pt>
              </c:numCache>
            </c:numRef>
          </c:val>
        </c:ser>
        <c:dLbls>
          <c:showLegendKey val="false"/>
          <c:showVal val="false"/>
          <c:showCatName val="true"/>
          <c:showSerName val="false"/>
          <c:showPercent val="true"/>
          <c:showBubbleSize val="false"/>
          <c:showLeaderLines val="true"/>
        </c:dLbls>
        <c:firstSliceAng val="0"/>
      </c:pieChart>
    </c:plotArea>
    <c:plotVisOnly val="true"/>
    <c:dispBlanksAs val="gap"/>
    <c:showDLblsOverMax val="false"/>
  </c:chart>
  <c:spPr>
    <a:ln w="9525" cap="flat" cmpd="sng" algn="ctr">
      <a:noFill/>
      <a:prstDash val="solid"/>
      <a:round/>
    </a:ln>
  </c:spPr>
  <c:txPr>
    <a:bodyPr/>
    <a:lstStyle/>
    <a:p>
      <a:pPr>
        <a:defRPr lang="zh-CN"/>
      </a:pPr>
    </a:p>
  </c:txPr>
  <c:externalData r:id="rId1">
    <c:autoUpdate val="false"/>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2012</Words>
  <Characters>11475</Characters>
  <Lines>95</Lines>
  <Paragraphs>26</Paragraphs>
  <TotalTime>740</TotalTime>
  <ScaleCrop>false</ScaleCrop>
  <LinksUpToDate>false</LinksUpToDate>
  <CharactersWithSpaces>13461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2020-08-25T16:19:00Z</dcterms:created>
  <dc:creator>Administrator</dc:creator>
  <cp:lastModifiedBy>user</cp:lastModifiedBy>
  <cp:lastPrinted>2020-08-28T09:09:00Z</cp:lastPrinted>
  <dcterms:modified xsi:type="dcterms:W3CDTF">2022-07-21T14:05:22Z</dcterms:modified>
  <dc:title>内部资料，请勿外传（公开时请删除）</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